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E18" w:rsidRPr="00FA4A79" w:rsidRDefault="00114E18" w:rsidP="00FA4A79">
      <w:pPr>
        <w:spacing w:after="0"/>
        <w:ind w:right="20"/>
        <w:rPr>
          <w:rFonts w:ascii="Times New Roman" w:hAnsi="Times New Roman" w:cs="Times New Roman"/>
          <w:b/>
          <w:sz w:val="24"/>
          <w:szCs w:val="24"/>
          <w:lang w:val="en-US"/>
        </w:rPr>
      </w:pPr>
    </w:p>
    <w:p w:rsidR="00DD4AA6" w:rsidRPr="00FA4A79" w:rsidRDefault="00A82086" w:rsidP="00FA4A79">
      <w:pPr>
        <w:widowControl w:val="0"/>
        <w:autoSpaceDE w:val="0"/>
        <w:autoSpaceDN w:val="0"/>
        <w:spacing w:after="0"/>
        <w:ind w:right="20"/>
        <w:jc w:val="center"/>
        <w:rPr>
          <w:rFonts w:ascii="Times New Roman" w:eastAsia="Times New Roman" w:hAnsi="Times New Roman" w:cs="Times New Roman"/>
          <w:b/>
          <w:sz w:val="24"/>
          <w:szCs w:val="24"/>
          <w:lang w:eastAsia="en-US"/>
        </w:rPr>
      </w:pPr>
      <w:r w:rsidRPr="00FA4A79">
        <w:rPr>
          <w:rFonts w:ascii="Times New Roman" w:eastAsia="Times New Roman" w:hAnsi="Times New Roman" w:cs="Times New Roman"/>
          <w:b/>
          <w:sz w:val="24"/>
          <w:szCs w:val="24"/>
          <w:lang w:val="en-US" w:eastAsia="en-US"/>
        </w:rPr>
        <w:t>THE INFLUENCE OF ANIMATED VIDEO MEDIA ON ADOLESCENTS' KNOWLEDGE LEVEL ABOUT HIV/AIDS AT SMK ISTIQOMAH MUHAMMADIYAH 4 SAMARINDA</w:t>
      </w:r>
    </w:p>
    <w:p w:rsidR="00A82086" w:rsidRPr="00FA4A79" w:rsidRDefault="00A82086" w:rsidP="00FA4A79">
      <w:pPr>
        <w:widowControl w:val="0"/>
        <w:autoSpaceDE w:val="0"/>
        <w:autoSpaceDN w:val="0"/>
        <w:spacing w:after="0"/>
        <w:ind w:right="20"/>
        <w:jc w:val="center"/>
        <w:rPr>
          <w:rFonts w:ascii="Times New Roman" w:eastAsia="Times New Roman" w:hAnsi="Times New Roman" w:cs="Times New Roman"/>
          <w:b/>
          <w:lang w:eastAsia="en-US"/>
        </w:rPr>
      </w:pPr>
    </w:p>
    <w:p w:rsidR="00DD4AA6" w:rsidRPr="00FA4A79" w:rsidRDefault="00DD4AA6" w:rsidP="00FA4A79">
      <w:pPr>
        <w:widowControl w:val="0"/>
        <w:autoSpaceDE w:val="0"/>
        <w:autoSpaceDN w:val="0"/>
        <w:spacing w:after="0"/>
        <w:ind w:right="20"/>
        <w:jc w:val="center"/>
        <w:outlineLvl w:val="1"/>
        <w:rPr>
          <w:rFonts w:ascii="Times New Roman" w:eastAsia="Times New Roman" w:hAnsi="Times New Roman" w:cs="Times New Roman"/>
          <w:vertAlign w:val="superscript"/>
          <w:lang w:val="en-US" w:eastAsia="en-US"/>
        </w:rPr>
      </w:pPr>
      <w:bookmarkStart w:id="0" w:name="_Hlk202777270"/>
      <w:r w:rsidRPr="00FA4A79">
        <w:rPr>
          <w:rFonts w:ascii="Times New Roman" w:eastAsia="Times New Roman" w:hAnsi="Times New Roman" w:cs="Times New Roman"/>
          <w:b/>
          <w:bCs/>
          <w:lang w:val="en-US" w:eastAsia="en-US"/>
        </w:rPr>
        <w:t>Widya Valentina</w:t>
      </w:r>
      <w:r w:rsidR="00FA4A79">
        <w:rPr>
          <w:rFonts w:ascii="Times New Roman" w:eastAsia="Times New Roman" w:hAnsi="Times New Roman" w:cs="Times New Roman"/>
          <w:b/>
          <w:bCs/>
          <w:lang w:val="en-US" w:eastAsia="en-US"/>
        </w:rPr>
        <w:t xml:space="preserve"> </w:t>
      </w:r>
      <w:r w:rsidR="00FA4A79" w:rsidRPr="00FA4A79">
        <w:rPr>
          <w:rFonts w:ascii="Times New Roman" w:eastAsia="Times New Roman" w:hAnsi="Times New Roman" w:cs="Times New Roman"/>
          <w:b/>
          <w:bCs/>
          <w:vertAlign w:val="superscript"/>
          <w:lang w:val="en-US" w:eastAsia="en-US"/>
        </w:rPr>
        <w:t>*</w:t>
      </w:r>
      <w:r w:rsidRPr="00FA4A79">
        <w:rPr>
          <w:rFonts w:ascii="Times New Roman" w:eastAsia="Times New Roman" w:hAnsi="Times New Roman" w:cs="Times New Roman"/>
          <w:b/>
          <w:bCs/>
          <w:lang w:val="en-US" w:eastAsia="en-US"/>
        </w:rPr>
        <w:t>,</w:t>
      </w:r>
      <w:r w:rsidRPr="00FA4A79">
        <w:rPr>
          <w:rFonts w:ascii="Times New Roman" w:eastAsia="Times New Roman" w:hAnsi="Times New Roman" w:cs="Times New Roman"/>
          <w:lang w:val="en-US" w:eastAsia="en-US"/>
        </w:rPr>
        <w:t xml:space="preserve"> </w:t>
      </w:r>
      <w:r w:rsidRPr="00FA4A79">
        <w:rPr>
          <w:rFonts w:ascii="Times New Roman" w:eastAsia="Times New Roman" w:hAnsi="Times New Roman" w:cs="Times New Roman"/>
          <w:b/>
          <w:bCs/>
          <w:lang w:val="en-US" w:eastAsia="en-US"/>
        </w:rPr>
        <w:t>Sucita Tripertiwi, Chandra Sulistyorini, Ridha Wahyuni</w:t>
      </w:r>
      <w:bookmarkEnd w:id="0"/>
    </w:p>
    <w:p w:rsidR="00DD4AA6" w:rsidRPr="00FA4A79" w:rsidRDefault="00DD4AA6" w:rsidP="00FA4A79">
      <w:pPr>
        <w:widowControl w:val="0"/>
        <w:autoSpaceDE w:val="0"/>
        <w:autoSpaceDN w:val="0"/>
        <w:spacing w:after="0"/>
        <w:ind w:right="20"/>
        <w:jc w:val="center"/>
        <w:outlineLvl w:val="1"/>
        <w:rPr>
          <w:rFonts w:ascii="Times New Roman" w:eastAsia="Times New Roman" w:hAnsi="Times New Roman" w:cs="Times New Roman"/>
          <w:sz w:val="20"/>
          <w:szCs w:val="20"/>
          <w:lang w:val="en-US" w:eastAsia="en-US"/>
        </w:rPr>
      </w:pPr>
      <w:r w:rsidRPr="00FA4A79">
        <w:rPr>
          <w:rFonts w:ascii="Times New Roman" w:eastAsia="Times New Roman" w:hAnsi="Times New Roman" w:cs="Times New Roman"/>
          <w:sz w:val="20"/>
          <w:szCs w:val="20"/>
          <w:lang w:val="en-US" w:eastAsia="en-US"/>
        </w:rPr>
        <w:t xml:space="preserve">S1 Kebidanan, </w:t>
      </w:r>
      <w:r w:rsidR="00CB54F3" w:rsidRPr="00FA4A79">
        <w:rPr>
          <w:rFonts w:ascii="Times New Roman" w:eastAsia="Times New Roman" w:hAnsi="Times New Roman" w:cs="Times New Roman"/>
          <w:sz w:val="20"/>
          <w:szCs w:val="20"/>
          <w:lang w:val="en-US" w:eastAsia="en-US"/>
        </w:rPr>
        <w:t>Institut Teknologi Kesehatan dan Sains Wiyata Husada Samarinda</w:t>
      </w:r>
    </w:p>
    <w:p w:rsidR="00DD4AA6" w:rsidRPr="00FA4A79" w:rsidRDefault="00DD4AA6" w:rsidP="00FA4A79">
      <w:pPr>
        <w:widowControl w:val="0"/>
        <w:autoSpaceDE w:val="0"/>
        <w:autoSpaceDN w:val="0"/>
        <w:spacing w:after="0"/>
        <w:ind w:right="20"/>
        <w:jc w:val="center"/>
        <w:outlineLvl w:val="1"/>
        <w:rPr>
          <w:rFonts w:ascii="Times New Roman" w:eastAsia="Times New Roman" w:hAnsi="Times New Roman" w:cs="Times New Roman"/>
          <w:sz w:val="20"/>
          <w:szCs w:val="20"/>
          <w:lang w:val="en-US" w:eastAsia="en-US"/>
        </w:rPr>
      </w:pPr>
      <w:r w:rsidRPr="00FA4A79">
        <w:rPr>
          <w:rFonts w:ascii="Times New Roman" w:eastAsia="Times New Roman" w:hAnsi="Times New Roman" w:cs="Times New Roman"/>
          <w:sz w:val="20"/>
          <w:szCs w:val="20"/>
          <w:lang w:val="en-US" w:eastAsia="en-US"/>
        </w:rPr>
        <w:t>Jl. Kadrie Oening Gang Monalisa No.77, Air Hitam, Kec. Samarinda Ulu, Kota Samarinda, Kalimantan Timur</w:t>
      </w:r>
      <w:r w:rsidR="00FA4A79">
        <w:rPr>
          <w:rFonts w:ascii="Times New Roman" w:eastAsia="Times New Roman" w:hAnsi="Times New Roman" w:cs="Times New Roman"/>
          <w:sz w:val="20"/>
          <w:szCs w:val="20"/>
          <w:lang w:val="en-US" w:eastAsia="en-US"/>
        </w:rPr>
        <w:t>, Indonesia</w:t>
      </w:r>
    </w:p>
    <w:p w:rsidR="00114E18" w:rsidRPr="00FA4A79" w:rsidRDefault="00DD4AA6" w:rsidP="00FA4A79">
      <w:pPr>
        <w:spacing w:after="0"/>
        <w:ind w:right="20"/>
        <w:jc w:val="center"/>
        <w:rPr>
          <w:rFonts w:ascii="Times New Roman" w:hAnsi="Times New Roman" w:cs="Times New Roman"/>
          <w:i/>
          <w:iCs/>
          <w:sz w:val="20"/>
          <w:szCs w:val="20"/>
        </w:rPr>
      </w:pPr>
      <w:r w:rsidRPr="00FA4A79">
        <w:rPr>
          <w:rFonts w:ascii="Times New Roman" w:eastAsia="Times New Roman" w:hAnsi="Times New Roman" w:cs="Times New Roman"/>
          <w:sz w:val="20"/>
          <w:szCs w:val="20"/>
          <w:lang w:val="en-US" w:eastAsia="en-US"/>
        </w:rPr>
        <w:t xml:space="preserve">Email: </w:t>
      </w:r>
      <w:hyperlink r:id="rId8" w:history="1">
        <w:r w:rsidRPr="00FA4A79">
          <w:rPr>
            <w:rFonts w:ascii="Times New Roman" w:eastAsia="Times New Roman" w:hAnsi="Times New Roman" w:cs="Times New Roman"/>
            <w:i/>
            <w:iCs/>
            <w:color w:val="0000FF" w:themeColor="hyperlink"/>
            <w:sz w:val="20"/>
            <w:szCs w:val="20"/>
            <w:u w:val="single"/>
            <w:lang w:val="en-US" w:eastAsia="en-US"/>
          </w:rPr>
          <w:t>widyavalentina147@gmail.com</w:t>
        </w:r>
      </w:hyperlink>
    </w:p>
    <w:p w:rsidR="00A82086" w:rsidRDefault="00A82086" w:rsidP="00FA4A79">
      <w:pPr>
        <w:pStyle w:val="16aJudulAbstrak"/>
        <w:spacing w:before="0" w:line="276" w:lineRule="auto"/>
        <w:ind w:right="20"/>
        <w:rPr>
          <w:rFonts w:ascii="Times New Roman" w:hAnsi="Times New Roman" w:cs="Times New Roman"/>
          <w:szCs w:val="22"/>
        </w:rPr>
      </w:pPr>
    </w:p>
    <w:p w:rsidR="00FA4A79" w:rsidRPr="00FA4A79" w:rsidRDefault="00FA4A79" w:rsidP="00FA4A79">
      <w:pPr>
        <w:pStyle w:val="16aJudulAbstrak"/>
        <w:spacing w:before="0" w:line="276" w:lineRule="auto"/>
        <w:ind w:right="20"/>
        <w:rPr>
          <w:rFonts w:ascii="Times New Roman" w:hAnsi="Times New Roman" w:cs="Times New Roman"/>
          <w:szCs w:val="22"/>
        </w:rPr>
      </w:pPr>
    </w:p>
    <w:p w:rsidR="00144E61" w:rsidRPr="00FA4A79" w:rsidRDefault="00144E61" w:rsidP="00FA4A79">
      <w:pPr>
        <w:pStyle w:val="16aJudulAbstrak"/>
        <w:spacing w:before="0" w:line="276" w:lineRule="auto"/>
        <w:ind w:right="20"/>
        <w:rPr>
          <w:rFonts w:ascii="Times New Roman" w:hAnsi="Times New Roman" w:cs="Times New Roman"/>
          <w:szCs w:val="22"/>
          <w:lang w:val="en-US"/>
        </w:rPr>
      </w:pPr>
      <w:r w:rsidRPr="00FA4A79">
        <w:rPr>
          <w:rFonts w:ascii="Times New Roman" w:hAnsi="Times New Roman" w:cs="Times New Roman"/>
          <w:szCs w:val="22"/>
        </w:rPr>
        <w:t>Abstrak</w:t>
      </w:r>
    </w:p>
    <w:p w:rsidR="005C49A0" w:rsidRPr="00FA4A79" w:rsidRDefault="005C49A0" w:rsidP="00FA4A79">
      <w:pPr>
        <w:pStyle w:val="16aJudulAbstrak"/>
        <w:spacing w:before="0" w:line="276" w:lineRule="auto"/>
        <w:ind w:right="20"/>
        <w:jc w:val="both"/>
        <w:rPr>
          <w:rFonts w:ascii="Times New Roman" w:hAnsi="Times New Roman" w:cs="Times New Roman"/>
          <w:b w:val="0"/>
          <w:szCs w:val="22"/>
        </w:rPr>
      </w:pPr>
      <w:r w:rsidRPr="00FA4A79">
        <w:rPr>
          <w:rFonts w:ascii="Times New Roman" w:hAnsi="Times New Roman" w:cs="Times New Roman"/>
          <w:b w:val="0"/>
          <w:szCs w:val="22"/>
          <w:lang w:val="en-US"/>
        </w:rPr>
        <w:t>HIV/AIDS in adolescents not only has a negative physical impact, but can also affect mental health, emotions, economic status, and long-term social well-being. One of the factors influencing adolescent behavior is their low level of knowledge about reproductive health and their tendency to try new things. Efforts to reduce the incidence of HIV/AIDS in adolescents require integrated and comprehensive handling. One way is by providing education. Research Objective: To analyze the effect of animated video media-based health education on increasing adolescent knowledge about HIV/AIDS. Method: This study used a Quasi-experimental design with a One Group Pre-test and Post-test. The research was conducted in May 2025, with the population being all 10th-grade students of SMK Istiqomah Muhammadiyah 4 Samarinda. The sample consisted of 109 people. The type and data collection method was primary data using a questionnaire sheet. The statistical test used was the Wilcoxon test. Research Results: There was an effect between knowledge before and after health education using animated videos with a p-value &lt;0.001. Conclusion: There was an effect of increased respondent knowledge after health education with animated video media on the level of adolescent knowledge about HIV/AIDS at SMK Istiqomah Muhammadiyah 4 Samarinda. Suggestion: Adolescents are expected to be able to access information and health services about HIV/AIDS from various information sources.</w:t>
      </w:r>
    </w:p>
    <w:p w:rsidR="005C49A0" w:rsidRPr="00FA4A79" w:rsidRDefault="005C49A0" w:rsidP="00FA4A79">
      <w:pPr>
        <w:pStyle w:val="16aJudulAbstrak"/>
        <w:spacing w:before="0" w:line="276" w:lineRule="auto"/>
        <w:ind w:right="20"/>
        <w:jc w:val="both"/>
        <w:rPr>
          <w:rFonts w:ascii="Times New Roman" w:hAnsi="Times New Roman" w:cs="Times New Roman"/>
          <w:b w:val="0"/>
          <w:szCs w:val="22"/>
          <w:lang w:val="en-US"/>
        </w:rPr>
      </w:pPr>
      <w:r w:rsidRPr="00FA4A79">
        <w:rPr>
          <w:rFonts w:ascii="Times New Roman" w:hAnsi="Times New Roman" w:cs="Times New Roman"/>
          <w:bCs/>
          <w:szCs w:val="22"/>
          <w:lang w:val="en-US"/>
        </w:rPr>
        <w:t>Keywords</w:t>
      </w:r>
      <w:r w:rsidRPr="00FA4A79">
        <w:rPr>
          <w:rFonts w:ascii="Times New Roman" w:hAnsi="Times New Roman" w:cs="Times New Roman"/>
          <w:b w:val="0"/>
          <w:szCs w:val="22"/>
          <w:lang w:val="en-US"/>
        </w:rPr>
        <w:t>: Animated Video, Knowledge, Adolescents, HIV/AIDS</w:t>
      </w:r>
    </w:p>
    <w:p w:rsidR="009A17A2" w:rsidRPr="00FA4A79" w:rsidRDefault="009A17A2" w:rsidP="00FA4A79">
      <w:pPr>
        <w:pStyle w:val="16cKataKunci"/>
        <w:spacing w:after="0" w:line="276" w:lineRule="auto"/>
        <w:ind w:right="20"/>
        <w:rPr>
          <w:rFonts w:ascii="Times New Roman" w:hAnsi="Times New Roman" w:cs="Times New Roman"/>
        </w:rPr>
        <w:sectPr w:rsidR="009A17A2" w:rsidRPr="00FA4A79" w:rsidSect="00FA4A79">
          <w:headerReference w:type="default" r:id="rId9"/>
          <w:footerReference w:type="default" r:id="rId10"/>
          <w:headerReference w:type="first" r:id="rId11"/>
          <w:footerReference w:type="first" r:id="rId12"/>
          <w:pgSz w:w="11906" w:h="16838"/>
          <w:pgMar w:top="1440" w:right="1440" w:bottom="1440" w:left="1440" w:header="283" w:footer="397" w:gutter="0"/>
          <w:pgNumType w:start="1314"/>
          <w:cols w:space="708"/>
          <w:titlePg/>
          <w:docGrid w:linePitch="360"/>
        </w:sectPr>
      </w:pPr>
    </w:p>
    <w:p w:rsidR="00144E61" w:rsidRDefault="00144E61" w:rsidP="00FA4A79">
      <w:pPr>
        <w:spacing w:after="0"/>
        <w:ind w:right="20"/>
        <w:jc w:val="both"/>
        <w:rPr>
          <w:rFonts w:ascii="Times New Roman" w:hAnsi="Times New Roman" w:cs="Times New Roman"/>
          <w:b/>
        </w:rPr>
      </w:pPr>
    </w:p>
    <w:p w:rsidR="00FA4A79" w:rsidRPr="00FA4A79" w:rsidRDefault="00FA4A79" w:rsidP="00FA4A79">
      <w:pPr>
        <w:spacing w:after="0"/>
        <w:ind w:right="20"/>
        <w:jc w:val="both"/>
        <w:rPr>
          <w:rFonts w:ascii="Times New Roman" w:hAnsi="Times New Roman" w:cs="Times New Roman"/>
          <w:b/>
        </w:rPr>
      </w:pPr>
    </w:p>
    <w:p w:rsidR="00E17795" w:rsidRPr="00FA4A79" w:rsidRDefault="00FA4A79" w:rsidP="00FA4A79">
      <w:pPr>
        <w:spacing w:after="0"/>
        <w:ind w:right="20"/>
        <w:jc w:val="both"/>
        <w:rPr>
          <w:rFonts w:ascii="Times New Roman" w:hAnsi="Times New Roman" w:cs="Times New Roman"/>
          <w:b/>
        </w:rPr>
      </w:pPr>
      <w:r w:rsidRPr="00FA4A79">
        <w:rPr>
          <w:rFonts w:ascii="Times New Roman" w:hAnsi="Times New Roman" w:cs="Times New Roman"/>
          <w:b/>
        </w:rPr>
        <w:t>Introduction</w:t>
      </w:r>
    </w:p>
    <w:p w:rsidR="005C49A0" w:rsidRPr="00FA4A79" w:rsidRDefault="005C49A0" w:rsidP="00FA4A79">
      <w:pPr>
        <w:pStyle w:val="22aIsiParagraf"/>
        <w:spacing w:after="0"/>
        <w:ind w:right="20" w:firstLine="567"/>
        <w:rPr>
          <w:rFonts w:ascii="Times New Roman" w:hAnsi="Times New Roman" w:cs="Times New Roman"/>
          <w:sz w:val="22"/>
        </w:rPr>
      </w:pPr>
      <w:r w:rsidRPr="00FA4A79">
        <w:rPr>
          <w:rFonts w:ascii="Times New Roman" w:hAnsi="Times New Roman" w:cs="Times New Roman"/>
          <w:sz w:val="22"/>
          <w:lang w:val="en-US"/>
        </w:rPr>
        <w:t>The increasing number of people living with HIV/AIDS (Human Immunodeficiency Virus) is one of the health problems that is currently a global concern. HIV (Human Immunodeficiency Virus) is a virus that infects white blood cells, thereby reducing the human immune system. AIDS (</w:t>
      </w:r>
      <w:proofErr w:type="gramStart"/>
      <w:r w:rsidRPr="00FA4A79">
        <w:rPr>
          <w:rFonts w:ascii="Times New Roman" w:hAnsi="Times New Roman" w:cs="Times New Roman"/>
          <w:sz w:val="22"/>
          <w:lang w:val="en-US"/>
        </w:rPr>
        <w:t>Acquired Immunodeficiency Syndrome</w:t>
      </w:r>
      <w:proofErr w:type="gramEnd"/>
      <w:r w:rsidRPr="00FA4A79">
        <w:rPr>
          <w:rFonts w:ascii="Times New Roman" w:hAnsi="Times New Roman" w:cs="Times New Roman"/>
          <w:sz w:val="22"/>
          <w:lang w:val="en-US"/>
        </w:rPr>
        <w:t xml:space="preserve">) is a group of symptoms that occur because HIV infection weakens the human immune system. People infected with HIV require treatment with anti-inflammatory drugs (Cimment 2020). World Health Organization (WHO) data in 2021 shows that 650,000 people died due to Human Immunodeficiency Virus (HIV) infection and 1.5 million people were infected with HIV-AIDS (World Health Organization, 2022). The largest population of HIV/AIDS infections in the world is the African continent with 25.7 million, Southeast Asia with 3.8 million, and America with 3.5 million. The increasing HIV infection population in Southeast Asia makes Indonesia more vigilant about the spread and transmission of HIV (Infodatin, 2020). The Indonesian Ministry of Health recorded 36,902 HIV cases in 2021, with the majority of sufferers being of productive age. </w:t>
      </w:r>
      <w:r w:rsidRPr="00FA4A79">
        <w:rPr>
          <w:rFonts w:ascii="Times New Roman" w:hAnsi="Times New Roman" w:cs="Times New Roman"/>
          <w:sz w:val="22"/>
          <w:lang w:val="en-US"/>
        </w:rPr>
        <w:lastRenderedPageBreak/>
        <w:t>The highest number of HIV cases came from the 25-49 age group, accounting for 69.7%, followed by the 20-24 age group at 16.9%, and the 15-19 age group at 3.1% (Kemenkes RI, 2022).</w:t>
      </w:r>
    </w:p>
    <w:p w:rsidR="005C49A0" w:rsidRPr="00FA4A79" w:rsidRDefault="005C49A0" w:rsidP="00FA4A79">
      <w:pPr>
        <w:pStyle w:val="22aIsiParagraf"/>
        <w:spacing w:after="0"/>
        <w:ind w:right="20" w:firstLine="567"/>
        <w:rPr>
          <w:rFonts w:ascii="Times New Roman" w:hAnsi="Times New Roman" w:cs="Times New Roman"/>
          <w:sz w:val="22"/>
        </w:rPr>
      </w:pPr>
      <w:r w:rsidRPr="00FA4A79">
        <w:rPr>
          <w:rFonts w:ascii="Times New Roman" w:hAnsi="Times New Roman" w:cs="Times New Roman"/>
          <w:sz w:val="22"/>
          <w:lang w:val="en-US"/>
        </w:rPr>
        <w:t>According to the Health Profile of East Kalimantan Province, there has been an increase in HIV/AIDS cases over the last 4 years. The number of HIV cases in 2023 in East Kalimantan Province was 1,508 cases. From the East Kalimantan Province Health Profile 2023 data, Samarinda City is ranked 1st with the most HIV cases, totaling 505 people (Profil Kesehatan Kaltim, 2023). The age group with the most cases of HIV is the 25-49 age group at (69%), the 20-24 age group at (16%), and the 15-19 age group at (4%) (Profil Kesehatan Kaltim 2023). HIV/AIDS can cause a decrease in the immune system, making individuals more susceptible to disease (Novita et al. 2022). In addition, HIV/AIDS problems in adolescents not only have a negative physical impact, but can also affect mental health, emotions, economic status, and long-term social well-being. This not only affects the adolescents themselves, but also their families, communities, and the nation (Arini &amp; Kasanah, 2021).</w:t>
      </w:r>
      <w:r w:rsidRPr="00FA4A79">
        <w:rPr>
          <w:rFonts w:ascii="Times New Roman" w:hAnsi="Times New Roman" w:cs="Times New Roman"/>
          <w:sz w:val="22"/>
        </w:rPr>
        <w:t xml:space="preserve"> </w:t>
      </w:r>
      <w:r w:rsidRPr="00FA4A79">
        <w:rPr>
          <w:rFonts w:ascii="Times New Roman" w:hAnsi="Times New Roman" w:cs="Times New Roman"/>
          <w:sz w:val="22"/>
          <w:lang w:val="en-US"/>
        </w:rPr>
        <w:t>As per the research conducted by Ravicka Rahmawati and Nur Rahmawati Sholihah in 2024, titled "The Effect of Health Education with Animated Video Media on the Knowledge Level of HIV/AIDS in Adolescent Girls at SMA N 1 Melati Sleman", the results showed a significant increase in knowledge, indicating that the use of animated video media in health education is effective in conveying complex information such as HIV/AIDS to adolescents. The results of this study are consistent with the research conducted by Reni Nurdianti in 2023, titled "The Effectiveness of Animated Videos on Increasing Knowledge about HIV/AIDS", which found an effect of animated videos on increasing adolescent knowledge about HIV/AIDS.</w:t>
      </w:r>
    </w:p>
    <w:p w:rsidR="005C49A0" w:rsidRPr="00FA4A79" w:rsidRDefault="005C49A0" w:rsidP="00FA4A79">
      <w:pPr>
        <w:pStyle w:val="22aIsiParagraf"/>
        <w:spacing w:after="0"/>
        <w:ind w:right="20" w:firstLine="567"/>
        <w:rPr>
          <w:rFonts w:ascii="Times New Roman" w:hAnsi="Times New Roman" w:cs="Times New Roman"/>
          <w:sz w:val="22"/>
          <w:lang w:val="en-US"/>
        </w:rPr>
      </w:pPr>
      <w:r w:rsidRPr="00FA4A79">
        <w:rPr>
          <w:rFonts w:ascii="Times New Roman" w:hAnsi="Times New Roman" w:cs="Times New Roman"/>
          <w:sz w:val="22"/>
          <w:lang w:val="en-US"/>
        </w:rPr>
        <w:t>In the school environment of SMK Istiqomah Muhammadiyah 4 Samarinda, according to informant sources, similar cases have been found, including HIV and drug abuse. Based on the description, data, and previous studies above, the researcher conducted a study on "The Effect of Animated Video Media on the Knowledge Level of Adolescents about HIV/AIDS at SMK Istiqomah Muhammadiyah 4 Samarinda".</w:t>
      </w:r>
    </w:p>
    <w:p w:rsidR="00114E18" w:rsidRDefault="00114E18" w:rsidP="00FA4A79">
      <w:pPr>
        <w:pStyle w:val="22aIsiParagraf"/>
        <w:spacing w:after="0"/>
        <w:ind w:right="20"/>
        <w:rPr>
          <w:rFonts w:ascii="Times New Roman" w:hAnsi="Times New Roman" w:cs="Times New Roman"/>
          <w:sz w:val="22"/>
          <w:lang w:val="en-US"/>
        </w:rPr>
      </w:pPr>
    </w:p>
    <w:p w:rsidR="00FA4A79" w:rsidRPr="00FA4A79" w:rsidRDefault="00FA4A79" w:rsidP="00FA4A79">
      <w:pPr>
        <w:pStyle w:val="22aIsiParagraf"/>
        <w:spacing w:after="0"/>
        <w:ind w:right="20"/>
        <w:rPr>
          <w:rFonts w:ascii="Times New Roman" w:hAnsi="Times New Roman" w:cs="Times New Roman"/>
          <w:sz w:val="22"/>
          <w:lang w:val="en-US"/>
        </w:rPr>
      </w:pPr>
    </w:p>
    <w:p w:rsidR="00502767" w:rsidRPr="00FA4A79" w:rsidRDefault="00FA4A79" w:rsidP="00FA4A79">
      <w:pPr>
        <w:spacing w:after="0"/>
        <w:ind w:right="20"/>
        <w:jc w:val="both"/>
        <w:rPr>
          <w:rFonts w:ascii="Times New Roman" w:hAnsi="Times New Roman" w:cs="Times New Roman"/>
          <w:b/>
        </w:rPr>
      </w:pPr>
      <w:r w:rsidRPr="00FA4A79">
        <w:rPr>
          <w:rFonts w:ascii="Times New Roman" w:hAnsi="Times New Roman" w:cs="Times New Roman"/>
          <w:b/>
        </w:rPr>
        <w:t>Method</w:t>
      </w:r>
    </w:p>
    <w:p w:rsidR="00172D9B" w:rsidRPr="00FA4A79" w:rsidRDefault="005C49A0" w:rsidP="00FA4A79">
      <w:pPr>
        <w:pStyle w:val="22aIsiParagraf"/>
        <w:spacing w:after="0"/>
        <w:ind w:right="20" w:firstLine="567"/>
        <w:rPr>
          <w:rFonts w:ascii="Times New Roman" w:hAnsi="Times New Roman" w:cs="Times New Roman"/>
          <w:sz w:val="22"/>
          <w:lang w:val="en-US"/>
        </w:rPr>
      </w:pPr>
      <w:r w:rsidRPr="00FA4A79">
        <w:rPr>
          <w:rFonts w:ascii="Times New Roman" w:hAnsi="Times New Roman" w:cs="Times New Roman"/>
          <w:sz w:val="22"/>
        </w:rPr>
        <w:t>The research design is a quantitative study with a quasi-experimental approach using a One Group Pretest and Posttest Design. The purpose is to determine the effect of the independent variable (health education) on the dependent variable (knowledge level about HIV/AIDS).</w:t>
      </w:r>
    </w:p>
    <w:p w:rsidR="00172D9B" w:rsidRDefault="00172D9B"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Default="00FA4A79" w:rsidP="00FA4A79">
      <w:pPr>
        <w:spacing w:after="0"/>
        <w:ind w:right="20"/>
        <w:jc w:val="both"/>
        <w:rPr>
          <w:rFonts w:ascii="Times New Roman" w:hAnsi="Times New Roman" w:cs="Times New Roman"/>
          <w:b/>
          <w:lang w:val="en-US"/>
        </w:rPr>
      </w:pPr>
    </w:p>
    <w:p w:rsidR="00FA4A79" w:rsidRPr="00FA4A79" w:rsidRDefault="00FA4A79" w:rsidP="00FA4A79">
      <w:pPr>
        <w:spacing w:after="0"/>
        <w:ind w:right="20"/>
        <w:jc w:val="both"/>
        <w:rPr>
          <w:rFonts w:ascii="Times New Roman" w:hAnsi="Times New Roman" w:cs="Times New Roman"/>
          <w:b/>
          <w:lang w:val="en-US"/>
        </w:rPr>
      </w:pPr>
    </w:p>
    <w:p w:rsidR="00172D9B" w:rsidRPr="00FA4A79" w:rsidRDefault="00FA4A79" w:rsidP="00FA4A79">
      <w:pPr>
        <w:tabs>
          <w:tab w:val="left" w:pos="1635"/>
        </w:tabs>
        <w:spacing w:after="0"/>
        <w:ind w:right="20"/>
        <w:jc w:val="both"/>
        <w:rPr>
          <w:rFonts w:ascii="Times New Roman" w:hAnsi="Times New Roman" w:cs="Times New Roman"/>
          <w:b/>
          <w:lang w:val="en-US"/>
        </w:rPr>
      </w:pPr>
      <w:r w:rsidRPr="00FA4A79">
        <w:rPr>
          <w:rFonts w:ascii="Times New Roman" w:hAnsi="Times New Roman" w:cs="Times New Roman"/>
          <w:b/>
        </w:rPr>
        <w:lastRenderedPageBreak/>
        <w:t>Result</w:t>
      </w:r>
    </w:p>
    <w:p w:rsidR="00AD2C48" w:rsidRPr="00FA4A79" w:rsidRDefault="005C49A0" w:rsidP="00FA4A79">
      <w:pPr>
        <w:pStyle w:val="22aIsiParagraf"/>
        <w:spacing w:after="0"/>
        <w:ind w:right="20" w:firstLine="567"/>
        <w:rPr>
          <w:rFonts w:ascii="Times New Roman" w:hAnsi="Times New Roman" w:cs="Times New Roman"/>
          <w:bCs/>
          <w:sz w:val="22"/>
        </w:rPr>
      </w:pPr>
      <w:r w:rsidRPr="00FA4A79">
        <w:rPr>
          <w:rFonts w:ascii="Times New Roman" w:hAnsi="Times New Roman" w:cs="Times New Roman"/>
          <w:bCs/>
          <w:sz w:val="22"/>
        </w:rPr>
        <w:t>Description of Respondent Characteristics</w:t>
      </w:r>
    </w:p>
    <w:p w:rsidR="00FA4A79" w:rsidRDefault="00FA4A79" w:rsidP="00FA4A79">
      <w:pPr>
        <w:spacing w:after="0"/>
        <w:ind w:right="20"/>
        <w:jc w:val="center"/>
        <w:rPr>
          <w:rFonts w:ascii="Times New Roman" w:hAnsi="Times New Roman" w:cs="Times New Roman"/>
          <w:b/>
        </w:rPr>
      </w:pPr>
    </w:p>
    <w:p w:rsidR="005C49A0" w:rsidRPr="00FA4A79" w:rsidRDefault="005C49A0" w:rsidP="00FA4A79">
      <w:pPr>
        <w:spacing w:after="0"/>
        <w:ind w:right="20"/>
        <w:jc w:val="center"/>
        <w:rPr>
          <w:rFonts w:ascii="Times New Roman" w:hAnsi="Times New Roman" w:cs="Times New Roman"/>
          <w:b/>
        </w:rPr>
      </w:pPr>
      <w:r w:rsidRPr="00FA4A79">
        <w:rPr>
          <w:rFonts w:ascii="Times New Roman" w:hAnsi="Times New Roman" w:cs="Times New Roman"/>
          <w:b/>
        </w:rPr>
        <w:t xml:space="preserve">Table </w:t>
      </w:r>
      <w:r w:rsidR="00FA4A79" w:rsidRPr="00FA4A79">
        <w:rPr>
          <w:rFonts w:ascii="Times New Roman" w:hAnsi="Times New Roman" w:cs="Times New Roman"/>
          <w:b/>
        </w:rPr>
        <w:t xml:space="preserve">1 Frequency Distribution </w:t>
      </w:r>
      <w:r w:rsidRPr="00FA4A79">
        <w:rPr>
          <w:rFonts w:ascii="Times New Roman" w:hAnsi="Times New Roman" w:cs="Times New Roman"/>
          <w:b/>
        </w:rPr>
        <w:t>of Respondent Characteristics</w:t>
      </w:r>
    </w:p>
    <w:tbl>
      <w:tblPr>
        <w:tblW w:w="8058" w:type="dxa"/>
        <w:jc w:val="center"/>
        <w:tblLayout w:type="fixed"/>
        <w:tblCellMar>
          <w:left w:w="0" w:type="dxa"/>
          <w:right w:w="0" w:type="dxa"/>
        </w:tblCellMar>
        <w:tblLook w:val="01E0" w:firstRow="1" w:lastRow="1" w:firstColumn="1" w:lastColumn="1" w:noHBand="0" w:noVBand="0"/>
      </w:tblPr>
      <w:tblGrid>
        <w:gridCol w:w="1807"/>
        <w:gridCol w:w="2337"/>
        <w:gridCol w:w="928"/>
        <w:gridCol w:w="1275"/>
        <w:gridCol w:w="1711"/>
      </w:tblGrid>
      <w:tr w:rsidR="005C49A0" w:rsidRPr="00FA4A79" w:rsidTr="00FA4A79">
        <w:trPr>
          <w:trHeight w:val="275"/>
          <w:jc w:val="center"/>
        </w:trPr>
        <w:tc>
          <w:tcPr>
            <w:tcW w:w="1807" w:type="dxa"/>
            <w:tcBorders>
              <w:top w:val="single" w:sz="4" w:space="0" w:color="000000"/>
              <w:bottom w:val="single" w:sz="4" w:space="0" w:color="000000"/>
            </w:tcBorders>
          </w:tcPr>
          <w:p w:rsidR="005C49A0" w:rsidRPr="00FA4A79" w:rsidRDefault="005C49A0" w:rsidP="00FA4A79">
            <w:pPr>
              <w:widowControl w:val="0"/>
              <w:autoSpaceDE w:val="0"/>
              <w:autoSpaceDN w:val="0"/>
              <w:spacing w:after="0"/>
              <w:ind w:left="65" w:right="20"/>
              <w:rPr>
                <w:rFonts w:ascii="Times New Roman" w:eastAsia="Times New Roman" w:hAnsi="Times New Roman" w:cs="Times New Roman"/>
                <w:b/>
                <w:sz w:val="20"/>
                <w:szCs w:val="20"/>
                <w:lang w:eastAsia="en-US"/>
              </w:rPr>
            </w:pPr>
            <w:r w:rsidRPr="00FA4A79">
              <w:rPr>
                <w:rFonts w:ascii="Times New Roman" w:eastAsia="Times New Roman" w:hAnsi="Times New Roman" w:cs="Times New Roman"/>
                <w:b/>
                <w:sz w:val="20"/>
                <w:szCs w:val="20"/>
                <w:lang w:eastAsia="en-US"/>
              </w:rPr>
              <w:t>Characteristic</w:t>
            </w:r>
          </w:p>
        </w:tc>
        <w:tc>
          <w:tcPr>
            <w:tcW w:w="2337" w:type="dxa"/>
            <w:tcBorders>
              <w:top w:val="single" w:sz="4" w:space="0" w:color="000000"/>
              <w:bottom w:val="single" w:sz="4" w:space="0" w:color="000000"/>
            </w:tcBorders>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c>
          <w:tcPr>
            <w:tcW w:w="928" w:type="dxa"/>
            <w:tcBorders>
              <w:top w:val="single" w:sz="4" w:space="0" w:color="000000"/>
              <w:bottom w:val="single" w:sz="4" w:space="0" w:color="000000"/>
            </w:tcBorders>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b/>
                <w:sz w:val="20"/>
                <w:szCs w:val="20"/>
                <w:lang w:val="id" w:eastAsia="en-US"/>
              </w:rPr>
            </w:pPr>
            <w:r w:rsidRPr="00FA4A79">
              <w:rPr>
                <w:rFonts w:ascii="Times New Roman" w:eastAsia="Times New Roman" w:hAnsi="Times New Roman" w:cs="Times New Roman"/>
                <w:b/>
                <w:spacing w:val="-10"/>
                <w:sz w:val="20"/>
                <w:szCs w:val="20"/>
                <w:lang w:val="id" w:eastAsia="en-US"/>
              </w:rPr>
              <w:t>F</w:t>
            </w:r>
          </w:p>
        </w:tc>
        <w:tc>
          <w:tcPr>
            <w:tcW w:w="1275" w:type="dxa"/>
            <w:tcBorders>
              <w:top w:val="single" w:sz="4" w:space="0" w:color="000000"/>
              <w:bottom w:val="single" w:sz="4" w:space="0" w:color="000000"/>
            </w:tcBorders>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b/>
                <w:sz w:val="20"/>
                <w:szCs w:val="20"/>
                <w:lang w:val="id" w:eastAsia="en-US"/>
              </w:rPr>
            </w:pPr>
            <w:r w:rsidRPr="00FA4A79">
              <w:rPr>
                <w:rFonts w:ascii="Times New Roman" w:eastAsia="Times New Roman" w:hAnsi="Times New Roman" w:cs="Times New Roman"/>
                <w:b/>
                <w:spacing w:val="-10"/>
                <w:sz w:val="20"/>
                <w:szCs w:val="20"/>
                <w:lang w:val="id" w:eastAsia="en-US"/>
              </w:rPr>
              <w:t>%</w:t>
            </w:r>
          </w:p>
        </w:tc>
        <w:tc>
          <w:tcPr>
            <w:tcW w:w="1711" w:type="dxa"/>
            <w:tcBorders>
              <w:top w:val="single" w:sz="4" w:space="0" w:color="000000"/>
              <w:bottom w:val="single" w:sz="4" w:space="0" w:color="000000"/>
            </w:tcBorders>
          </w:tcPr>
          <w:p w:rsidR="005C49A0" w:rsidRPr="00FA4A79" w:rsidRDefault="005C49A0" w:rsidP="00FA4A79">
            <w:pPr>
              <w:widowControl w:val="0"/>
              <w:autoSpaceDE w:val="0"/>
              <w:autoSpaceDN w:val="0"/>
              <w:spacing w:after="0"/>
              <w:ind w:left="77" w:right="20"/>
              <w:jc w:val="center"/>
              <w:rPr>
                <w:rFonts w:ascii="Times New Roman" w:eastAsia="Times New Roman" w:hAnsi="Times New Roman" w:cs="Times New Roman"/>
                <w:b/>
                <w:sz w:val="20"/>
                <w:szCs w:val="20"/>
                <w:lang w:val="id" w:eastAsia="en-US"/>
              </w:rPr>
            </w:pPr>
            <w:r w:rsidRPr="00FA4A79">
              <w:rPr>
                <w:rFonts w:ascii="Times New Roman" w:eastAsia="Times New Roman" w:hAnsi="Times New Roman" w:cs="Times New Roman"/>
                <w:b/>
                <w:spacing w:val="-2"/>
                <w:sz w:val="20"/>
                <w:szCs w:val="20"/>
                <w:lang w:val="id" w:eastAsia="en-US"/>
              </w:rPr>
              <w:t>Total</w:t>
            </w:r>
          </w:p>
        </w:tc>
      </w:tr>
      <w:tr w:rsidR="005C49A0" w:rsidRPr="00FA4A79" w:rsidTr="00FA4A79">
        <w:trPr>
          <w:trHeight w:val="264"/>
          <w:jc w:val="center"/>
        </w:trPr>
        <w:tc>
          <w:tcPr>
            <w:tcW w:w="1807" w:type="dxa"/>
            <w:tcBorders>
              <w:top w:val="single" w:sz="4" w:space="0" w:color="000000"/>
            </w:tcBorders>
          </w:tcPr>
          <w:p w:rsidR="005C49A0" w:rsidRPr="00FA4A79" w:rsidRDefault="005C49A0" w:rsidP="00FA4A79">
            <w:pPr>
              <w:widowControl w:val="0"/>
              <w:autoSpaceDE w:val="0"/>
              <w:autoSpaceDN w:val="0"/>
              <w:spacing w:after="0"/>
              <w:ind w:left="65"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z w:val="20"/>
                <w:szCs w:val="20"/>
                <w:lang w:eastAsia="en-US"/>
              </w:rPr>
              <w:t>Gander male</w:t>
            </w:r>
          </w:p>
        </w:tc>
        <w:tc>
          <w:tcPr>
            <w:tcW w:w="2337" w:type="dxa"/>
            <w:tcBorders>
              <w:top w:val="single" w:sz="4" w:space="0" w:color="000000"/>
            </w:tcBorders>
          </w:tcPr>
          <w:p w:rsidR="005C49A0" w:rsidRPr="00FA4A79" w:rsidRDefault="005C59FA" w:rsidP="00FA4A79">
            <w:pPr>
              <w:widowControl w:val="0"/>
              <w:autoSpaceDE w:val="0"/>
              <w:autoSpaceDN w:val="0"/>
              <w:spacing w:after="0"/>
              <w:ind w:left="11"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pacing w:val="-4"/>
                <w:sz w:val="20"/>
                <w:szCs w:val="20"/>
                <w:lang w:eastAsia="en-US"/>
              </w:rPr>
              <w:t xml:space="preserve">Male </w:t>
            </w:r>
          </w:p>
        </w:tc>
        <w:tc>
          <w:tcPr>
            <w:tcW w:w="928" w:type="dxa"/>
            <w:tcBorders>
              <w:top w:val="single" w:sz="4" w:space="0" w:color="000000"/>
            </w:tcBorders>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89</w:t>
            </w:r>
          </w:p>
        </w:tc>
        <w:tc>
          <w:tcPr>
            <w:tcW w:w="1275" w:type="dxa"/>
            <w:tcBorders>
              <w:top w:val="single" w:sz="4" w:space="0" w:color="000000"/>
            </w:tcBorders>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81,7</w:t>
            </w:r>
          </w:p>
        </w:tc>
        <w:tc>
          <w:tcPr>
            <w:tcW w:w="1711" w:type="dxa"/>
            <w:tcBorders>
              <w:top w:val="single" w:sz="4" w:space="0" w:color="000000"/>
            </w:tcBorders>
          </w:tcPr>
          <w:p w:rsidR="005C49A0" w:rsidRPr="00FA4A79" w:rsidRDefault="005C49A0" w:rsidP="00FA4A79">
            <w:pPr>
              <w:widowControl w:val="0"/>
              <w:autoSpaceDE w:val="0"/>
              <w:autoSpaceDN w:val="0"/>
              <w:spacing w:after="0"/>
              <w:ind w:left="77" w:right="20"/>
              <w:jc w:val="center"/>
              <w:rPr>
                <w:rFonts w:ascii="Times New Roman" w:eastAsia="Times New Roman" w:hAnsi="Times New Roman" w:cs="Times New Roman"/>
                <w:b/>
                <w:sz w:val="20"/>
                <w:szCs w:val="20"/>
                <w:lang w:val="id" w:eastAsia="en-US"/>
              </w:rPr>
            </w:pPr>
            <w:r w:rsidRPr="00FA4A79">
              <w:rPr>
                <w:rFonts w:ascii="Times New Roman" w:eastAsia="Times New Roman" w:hAnsi="Times New Roman" w:cs="Times New Roman"/>
                <w:b/>
                <w:spacing w:val="-2"/>
                <w:sz w:val="20"/>
                <w:szCs w:val="20"/>
                <w:lang w:val="id" w:eastAsia="en-US"/>
              </w:rPr>
              <w:t>109/100%</w:t>
            </w:r>
          </w:p>
        </w:tc>
      </w:tr>
      <w:tr w:rsidR="005C49A0" w:rsidRPr="00FA4A79" w:rsidTr="00FA4A79">
        <w:trPr>
          <w:trHeight w:val="286"/>
          <w:jc w:val="center"/>
        </w:trPr>
        <w:tc>
          <w:tcPr>
            <w:tcW w:w="1807" w:type="dxa"/>
            <w:tcBorders>
              <w:bottom w:val="single" w:sz="4" w:space="0" w:color="000000"/>
            </w:tcBorders>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c>
          <w:tcPr>
            <w:tcW w:w="2337" w:type="dxa"/>
            <w:tcBorders>
              <w:bottom w:val="single" w:sz="4" w:space="0" w:color="000000"/>
            </w:tcBorders>
          </w:tcPr>
          <w:p w:rsidR="005C49A0" w:rsidRPr="00FA4A79" w:rsidRDefault="005C59FA" w:rsidP="00FA4A79">
            <w:pPr>
              <w:widowControl w:val="0"/>
              <w:autoSpaceDE w:val="0"/>
              <w:autoSpaceDN w:val="0"/>
              <w:spacing w:after="0"/>
              <w:ind w:left="3"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pacing w:val="-2"/>
                <w:sz w:val="20"/>
                <w:szCs w:val="20"/>
                <w:lang w:eastAsia="en-US"/>
              </w:rPr>
              <w:t xml:space="preserve">Female </w:t>
            </w:r>
          </w:p>
        </w:tc>
        <w:tc>
          <w:tcPr>
            <w:tcW w:w="928" w:type="dxa"/>
            <w:tcBorders>
              <w:bottom w:val="single" w:sz="4" w:space="0" w:color="000000"/>
            </w:tcBorders>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20</w:t>
            </w:r>
          </w:p>
        </w:tc>
        <w:tc>
          <w:tcPr>
            <w:tcW w:w="1275" w:type="dxa"/>
            <w:tcBorders>
              <w:bottom w:val="single" w:sz="4" w:space="0" w:color="000000"/>
            </w:tcBorders>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18,3</w:t>
            </w:r>
          </w:p>
        </w:tc>
        <w:tc>
          <w:tcPr>
            <w:tcW w:w="1711" w:type="dxa"/>
            <w:tcBorders>
              <w:bottom w:val="single" w:sz="4" w:space="0" w:color="000000"/>
            </w:tcBorders>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65"/>
          <w:jc w:val="center"/>
        </w:trPr>
        <w:tc>
          <w:tcPr>
            <w:tcW w:w="1807" w:type="dxa"/>
            <w:tcBorders>
              <w:top w:val="single" w:sz="4" w:space="0" w:color="000000"/>
            </w:tcBorders>
          </w:tcPr>
          <w:p w:rsidR="005C49A0" w:rsidRPr="00FA4A79" w:rsidRDefault="005C49A0" w:rsidP="00FA4A79">
            <w:pPr>
              <w:widowControl w:val="0"/>
              <w:autoSpaceDE w:val="0"/>
              <w:autoSpaceDN w:val="0"/>
              <w:spacing w:after="0"/>
              <w:ind w:left="65"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pacing w:val="-4"/>
                <w:sz w:val="20"/>
                <w:szCs w:val="20"/>
                <w:lang w:eastAsia="en-US"/>
              </w:rPr>
              <w:t xml:space="preserve">Age </w:t>
            </w:r>
          </w:p>
        </w:tc>
        <w:tc>
          <w:tcPr>
            <w:tcW w:w="2337" w:type="dxa"/>
            <w:tcBorders>
              <w:top w:val="single" w:sz="4" w:space="0" w:color="000000"/>
            </w:tcBorders>
          </w:tcPr>
          <w:p w:rsidR="005C49A0" w:rsidRPr="00FA4A79" w:rsidRDefault="005C49A0" w:rsidP="00FA4A79">
            <w:pPr>
              <w:widowControl w:val="0"/>
              <w:autoSpaceDE w:val="0"/>
              <w:autoSpaceDN w:val="0"/>
              <w:spacing w:after="0"/>
              <w:ind w:left="9"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z w:val="20"/>
                <w:szCs w:val="20"/>
                <w:lang w:val="id" w:eastAsia="en-US"/>
              </w:rPr>
              <w:t>15</w:t>
            </w:r>
            <w:r w:rsidR="005C59FA" w:rsidRPr="00FA4A79">
              <w:rPr>
                <w:rFonts w:ascii="Times New Roman" w:eastAsia="Times New Roman" w:hAnsi="Times New Roman" w:cs="Times New Roman"/>
                <w:spacing w:val="-2"/>
                <w:sz w:val="20"/>
                <w:szCs w:val="20"/>
                <w:lang w:val="id" w:eastAsia="en-US"/>
              </w:rPr>
              <w:t xml:space="preserve"> </w:t>
            </w:r>
            <w:r w:rsidR="005C59FA" w:rsidRPr="00FA4A79">
              <w:rPr>
                <w:rFonts w:ascii="Times New Roman" w:eastAsia="Times New Roman" w:hAnsi="Times New Roman" w:cs="Times New Roman"/>
                <w:spacing w:val="-2"/>
                <w:sz w:val="20"/>
                <w:szCs w:val="20"/>
                <w:lang w:eastAsia="en-US"/>
              </w:rPr>
              <w:t>old</w:t>
            </w:r>
          </w:p>
        </w:tc>
        <w:tc>
          <w:tcPr>
            <w:tcW w:w="928" w:type="dxa"/>
            <w:tcBorders>
              <w:top w:val="single" w:sz="4" w:space="0" w:color="000000"/>
            </w:tcBorders>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22</w:t>
            </w:r>
          </w:p>
        </w:tc>
        <w:tc>
          <w:tcPr>
            <w:tcW w:w="1275" w:type="dxa"/>
            <w:tcBorders>
              <w:top w:val="single" w:sz="4" w:space="0" w:color="000000"/>
            </w:tcBorders>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20,2</w:t>
            </w:r>
          </w:p>
        </w:tc>
        <w:tc>
          <w:tcPr>
            <w:tcW w:w="1711" w:type="dxa"/>
            <w:tcBorders>
              <w:top w:val="single" w:sz="4" w:space="0" w:color="000000"/>
            </w:tcBorders>
          </w:tcPr>
          <w:p w:rsidR="005C49A0" w:rsidRPr="00FA4A79" w:rsidRDefault="005C49A0" w:rsidP="00FA4A79">
            <w:pPr>
              <w:widowControl w:val="0"/>
              <w:autoSpaceDE w:val="0"/>
              <w:autoSpaceDN w:val="0"/>
              <w:spacing w:after="0"/>
              <w:ind w:left="77" w:right="20"/>
              <w:jc w:val="center"/>
              <w:rPr>
                <w:rFonts w:ascii="Times New Roman" w:eastAsia="Times New Roman" w:hAnsi="Times New Roman" w:cs="Times New Roman"/>
                <w:b/>
                <w:sz w:val="20"/>
                <w:szCs w:val="20"/>
                <w:lang w:val="id" w:eastAsia="en-US"/>
              </w:rPr>
            </w:pPr>
            <w:r w:rsidRPr="00FA4A79">
              <w:rPr>
                <w:rFonts w:ascii="Times New Roman" w:eastAsia="Times New Roman" w:hAnsi="Times New Roman" w:cs="Times New Roman"/>
                <w:b/>
                <w:spacing w:val="-2"/>
                <w:sz w:val="20"/>
                <w:szCs w:val="20"/>
                <w:lang w:val="id" w:eastAsia="en-US"/>
              </w:rPr>
              <w:t>109/100%</w:t>
            </w:r>
          </w:p>
        </w:tc>
      </w:tr>
      <w:tr w:rsidR="005C49A0" w:rsidRPr="00FA4A79" w:rsidTr="00FA4A79">
        <w:trPr>
          <w:trHeight w:val="277"/>
          <w:jc w:val="center"/>
        </w:trPr>
        <w:tc>
          <w:tcPr>
            <w:tcW w:w="1807" w:type="dxa"/>
          </w:tcPr>
          <w:p w:rsidR="005C49A0" w:rsidRPr="00FA4A79" w:rsidRDefault="005C49A0" w:rsidP="00FA4A79">
            <w:pPr>
              <w:widowControl w:val="0"/>
              <w:autoSpaceDE w:val="0"/>
              <w:autoSpaceDN w:val="0"/>
              <w:spacing w:after="0"/>
              <w:ind w:left="65"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2"/>
                <w:sz w:val="20"/>
                <w:szCs w:val="20"/>
                <w:lang w:val="id" w:eastAsia="en-US"/>
              </w:rPr>
              <w:t>Responden</w:t>
            </w:r>
          </w:p>
        </w:tc>
        <w:tc>
          <w:tcPr>
            <w:tcW w:w="2337" w:type="dxa"/>
          </w:tcPr>
          <w:p w:rsidR="005C49A0" w:rsidRPr="00FA4A79" w:rsidRDefault="005C49A0" w:rsidP="00FA4A79">
            <w:pPr>
              <w:widowControl w:val="0"/>
              <w:autoSpaceDE w:val="0"/>
              <w:autoSpaceDN w:val="0"/>
              <w:spacing w:after="0"/>
              <w:ind w:left="9"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z w:val="20"/>
                <w:szCs w:val="20"/>
                <w:lang w:val="id" w:eastAsia="en-US"/>
              </w:rPr>
              <w:t>16</w:t>
            </w:r>
            <w:r w:rsidR="005C59FA" w:rsidRPr="00FA4A79">
              <w:rPr>
                <w:rFonts w:ascii="Times New Roman" w:eastAsia="Times New Roman" w:hAnsi="Times New Roman" w:cs="Times New Roman"/>
                <w:spacing w:val="-2"/>
                <w:sz w:val="20"/>
                <w:szCs w:val="20"/>
                <w:lang w:val="id" w:eastAsia="en-US"/>
              </w:rPr>
              <w:t xml:space="preserve"> </w:t>
            </w:r>
            <w:r w:rsidR="005C59FA" w:rsidRPr="00FA4A79">
              <w:rPr>
                <w:rFonts w:ascii="Times New Roman" w:eastAsia="Times New Roman" w:hAnsi="Times New Roman" w:cs="Times New Roman"/>
                <w:spacing w:val="-2"/>
                <w:sz w:val="20"/>
                <w:szCs w:val="20"/>
                <w:lang w:eastAsia="en-US"/>
              </w:rPr>
              <w:t>old</w:t>
            </w:r>
          </w:p>
        </w:tc>
        <w:tc>
          <w:tcPr>
            <w:tcW w:w="928" w:type="dxa"/>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74</w:t>
            </w:r>
          </w:p>
        </w:tc>
        <w:tc>
          <w:tcPr>
            <w:tcW w:w="1275" w:type="dxa"/>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67,9</w:t>
            </w:r>
          </w:p>
        </w:tc>
        <w:tc>
          <w:tcPr>
            <w:tcW w:w="1711"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76"/>
          <w:jc w:val="center"/>
        </w:trPr>
        <w:tc>
          <w:tcPr>
            <w:tcW w:w="1807"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c>
          <w:tcPr>
            <w:tcW w:w="2337" w:type="dxa"/>
          </w:tcPr>
          <w:p w:rsidR="005C49A0" w:rsidRPr="00FA4A79" w:rsidRDefault="005C49A0" w:rsidP="00FA4A79">
            <w:pPr>
              <w:widowControl w:val="0"/>
              <w:autoSpaceDE w:val="0"/>
              <w:autoSpaceDN w:val="0"/>
              <w:spacing w:after="0"/>
              <w:ind w:left="9"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z w:val="20"/>
                <w:szCs w:val="20"/>
                <w:lang w:val="id" w:eastAsia="en-US"/>
              </w:rPr>
              <w:t>17</w:t>
            </w:r>
            <w:r w:rsidR="005C59FA" w:rsidRPr="00FA4A79">
              <w:rPr>
                <w:rFonts w:ascii="Times New Roman" w:eastAsia="Times New Roman" w:hAnsi="Times New Roman" w:cs="Times New Roman"/>
                <w:spacing w:val="-2"/>
                <w:sz w:val="20"/>
                <w:szCs w:val="20"/>
                <w:lang w:val="id" w:eastAsia="en-US"/>
              </w:rPr>
              <w:t xml:space="preserve"> </w:t>
            </w:r>
            <w:r w:rsidR="005C59FA" w:rsidRPr="00FA4A79">
              <w:rPr>
                <w:rFonts w:ascii="Times New Roman" w:eastAsia="Times New Roman" w:hAnsi="Times New Roman" w:cs="Times New Roman"/>
                <w:spacing w:val="-2"/>
                <w:sz w:val="20"/>
                <w:szCs w:val="20"/>
                <w:lang w:eastAsia="en-US"/>
              </w:rPr>
              <w:t>old</w:t>
            </w:r>
          </w:p>
        </w:tc>
        <w:tc>
          <w:tcPr>
            <w:tcW w:w="928" w:type="dxa"/>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11</w:t>
            </w:r>
          </w:p>
        </w:tc>
        <w:tc>
          <w:tcPr>
            <w:tcW w:w="1275" w:type="dxa"/>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10,1</w:t>
            </w:r>
          </w:p>
        </w:tc>
        <w:tc>
          <w:tcPr>
            <w:tcW w:w="1711"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86"/>
          <w:jc w:val="center"/>
        </w:trPr>
        <w:tc>
          <w:tcPr>
            <w:tcW w:w="1807" w:type="dxa"/>
            <w:tcBorders>
              <w:bottom w:val="single" w:sz="4" w:space="0" w:color="000000"/>
            </w:tcBorders>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c>
          <w:tcPr>
            <w:tcW w:w="2337" w:type="dxa"/>
            <w:tcBorders>
              <w:bottom w:val="single" w:sz="4" w:space="0" w:color="000000"/>
            </w:tcBorders>
          </w:tcPr>
          <w:p w:rsidR="005C49A0" w:rsidRPr="00FA4A79" w:rsidRDefault="005C49A0" w:rsidP="00FA4A79">
            <w:pPr>
              <w:widowControl w:val="0"/>
              <w:autoSpaceDE w:val="0"/>
              <w:autoSpaceDN w:val="0"/>
              <w:spacing w:after="0"/>
              <w:ind w:left="9"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z w:val="20"/>
                <w:szCs w:val="20"/>
                <w:lang w:val="id" w:eastAsia="en-US"/>
              </w:rPr>
              <w:t>18</w:t>
            </w:r>
            <w:r w:rsidR="005C59FA" w:rsidRPr="00FA4A79">
              <w:rPr>
                <w:rFonts w:ascii="Times New Roman" w:eastAsia="Times New Roman" w:hAnsi="Times New Roman" w:cs="Times New Roman"/>
                <w:spacing w:val="-2"/>
                <w:sz w:val="20"/>
                <w:szCs w:val="20"/>
                <w:lang w:val="id" w:eastAsia="en-US"/>
              </w:rPr>
              <w:t xml:space="preserve"> </w:t>
            </w:r>
            <w:r w:rsidR="005C59FA" w:rsidRPr="00FA4A79">
              <w:rPr>
                <w:rFonts w:ascii="Times New Roman" w:eastAsia="Times New Roman" w:hAnsi="Times New Roman" w:cs="Times New Roman"/>
                <w:spacing w:val="-2"/>
                <w:sz w:val="20"/>
                <w:szCs w:val="20"/>
                <w:lang w:eastAsia="en-US"/>
              </w:rPr>
              <w:t>old</w:t>
            </w:r>
          </w:p>
        </w:tc>
        <w:tc>
          <w:tcPr>
            <w:tcW w:w="928" w:type="dxa"/>
            <w:tcBorders>
              <w:bottom w:val="single" w:sz="4" w:space="0" w:color="000000"/>
            </w:tcBorders>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10"/>
                <w:sz w:val="20"/>
                <w:szCs w:val="20"/>
                <w:lang w:val="id" w:eastAsia="en-US"/>
              </w:rPr>
              <w:t>2</w:t>
            </w:r>
          </w:p>
        </w:tc>
        <w:tc>
          <w:tcPr>
            <w:tcW w:w="1275" w:type="dxa"/>
            <w:tcBorders>
              <w:bottom w:val="single" w:sz="4" w:space="0" w:color="000000"/>
            </w:tcBorders>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1,8</w:t>
            </w:r>
          </w:p>
        </w:tc>
        <w:tc>
          <w:tcPr>
            <w:tcW w:w="1711" w:type="dxa"/>
            <w:tcBorders>
              <w:bottom w:val="single" w:sz="4" w:space="0" w:color="000000"/>
            </w:tcBorders>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65"/>
          <w:jc w:val="center"/>
        </w:trPr>
        <w:tc>
          <w:tcPr>
            <w:tcW w:w="1807" w:type="dxa"/>
            <w:tcBorders>
              <w:top w:val="single" w:sz="4" w:space="0" w:color="000000"/>
            </w:tcBorders>
          </w:tcPr>
          <w:p w:rsidR="005C49A0" w:rsidRPr="00FA4A79" w:rsidRDefault="005C59FA" w:rsidP="00FA4A79">
            <w:pPr>
              <w:widowControl w:val="0"/>
              <w:autoSpaceDE w:val="0"/>
              <w:autoSpaceDN w:val="0"/>
              <w:spacing w:after="0"/>
              <w:ind w:left="65"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z w:val="20"/>
                <w:szCs w:val="20"/>
                <w:lang w:eastAsia="en-US"/>
              </w:rPr>
              <w:t>respondent's major</w:t>
            </w:r>
          </w:p>
        </w:tc>
        <w:tc>
          <w:tcPr>
            <w:tcW w:w="2337" w:type="dxa"/>
            <w:tcBorders>
              <w:top w:val="single" w:sz="4" w:space="0" w:color="000000"/>
            </w:tcBorders>
          </w:tcPr>
          <w:p w:rsidR="005C49A0" w:rsidRPr="00FA4A79" w:rsidRDefault="005C49A0" w:rsidP="00FA4A79">
            <w:pPr>
              <w:widowControl w:val="0"/>
              <w:autoSpaceDE w:val="0"/>
              <w:autoSpaceDN w:val="0"/>
              <w:spacing w:after="0"/>
              <w:ind w:left="6"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X-TKR</w:t>
            </w:r>
          </w:p>
        </w:tc>
        <w:tc>
          <w:tcPr>
            <w:tcW w:w="928" w:type="dxa"/>
            <w:tcBorders>
              <w:top w:val="single" w:sz="4" w:space="0" w:color="000000"/>
            </w:tcBorders>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19</w:t>
            </w:r>
          </w:p>
        </w:tc>
        <w:tc>
          <w:tcPr>
            <w:tcW w:w="1275" w:type="dxa"/>
            <w:tcBorders>
              <w:top w:val="single" w:sz="4" w:space="0" w:color="000000"/>
            </w:tcBorders>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17,4</w:t>
            </w:r>
          </w:p>
        </w:tc>
        <w:tc>
          <w:tcPr>
            <w:tcW w:w="1711" w:type="dxa"/>
            <w:tcBorders>
              <w:top w:val="single" w:sz="4" w:space="0" w:color="000000"/>
            </w:tcBorders>
          </w:tcPr>
          <w:p w:rsidR="005C49A0" w:rsidRPr="00FA4A79" w:rsidRDefault="005C49A0" w:rsidP="00FA4A79">
            <w:pPr>
              <w:widowControl w:val="0"/>
              <w:autoSpaceDE w:val="0"/>
              <w:autoSpaceDN w:val="0"/>
              <w:spacing w:after="0"/>
              <w:ind w:left="77" w:right="20"/>
              <w:jc w:val="center"/>
              <w:rPr>
                <w:rFonts w:ascii="Times New Roman" w:eastAsia="Times New Roman" w:hAnsi="Times New Roman" w:cs="Times New Roman"/>
                <w:b/>
                <w:sz w:val="20"/>
                <w:szCs w:val="20"/>
                <w:lang w:val="id" w:eastAsia="en-US"/>
              </w:rPr>
            </w:pPr>
            <w:r w:rsidRPr="00FA4A79">
              <w:rPr>
                <w:rFonts w:ascii="Times New Roman" w:eastAsia="Times New Roman" w:hAnsi="Times New Roman" w:cs="Times New Roman"/>
                <w:b/>
                <w:spacing w:val="-2"/>
                <w:sz w:val="20"/>
                <w:szCs w:val="20"/>
                <w:lang w:val="id" w:eastAsia="en-US"/>
              </w:rPr>
              <w:t>109/100%</w:t>
            </w:r>
          </w:p>
        </w:tc>
      </w:tr>
      <w:tr w:rsidR="005C49A0" w:rsidRPr="00FA4A79" w:rsidTr="00FA4A79">
        <w:trPr>
          <w:trHeight w:val="276"/>
          <w:jc w:val="center"/>
        </w:trPr>
        <w:tc>
          <w:tcPr>
            <w:tcW w:w="1807"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eastAsia="en-US"/>
              </w:rPr>
            </w:pPr>
          </w:p>
        </w:tc>
        <w:tc>
          <w:tcPr>
            <w:tcW w:w="2337" w:type="dxa"/>
          </w:tcPr>
          <w:p w:rsidR="005C49A0" w:rsidRPr="00FA4A79" w:rsidRDefault="005C59FA" w:rsidP="00FA4A79">
            <w:pPr>
              <w:widowControl w:val="0"/>
              <w:autoSpaceDE w:val="0"/>
              <w:autoSpaceDN w:val="0"/>
              <w:spacing w:after="0"/>
              <w:ind w:right="20"/>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z w:val="20"/>
                <w:szCs w:val="20"/>
                <w:lang w:eastAsia="en-US"/>
              </w:rPr>
              <w:t xml:space="preserve">          </w:t>
            </w:r>
            <w:r w:rsidR="005C49A0" w:rsidRPr="00FA4A79">
              <w:rPr>
                <w:rFonts w:ascii="Times New Roman" w:eastAsia="Times New Roman" w:hAnsi="Times New Roman" w:cs="Times New Roman"/>
                <w:sz w:val="20"/>
                <w:szCs w:val="20"/>
                <w:lang w:val="id" w:eastAsia="en-US"/>
              </w:rPr>
              <w:t>X-TAB</w:t>
            </w:r>
            <w:r w:rsidR="005C49A0" w:rsidRPr="00FA4A79">
              <w:rPr>
                <w:rFonts w:ascii="Times New Roman" w:eastAsia="Times New Roman" w:hAnsi="Times New Roman" w:cs="Times New Roman"/>
                <w:spacing w:val="-5"/>
                <w:sz w:val="20"/>
                <w:szCs w:val="20"/>
                <w:lang w:val="id" w:eastAsia="en-US"/>
              </w:rPr>
              <w:t xml:space="preserve"> </w:t>
            </w:r>
            <w:r w:rsidR="005C49A0" w:rsidRPr="00FA4A79">
              <w:rPr>
                <w:rFonts w:ascii="Times New Roman" w:eastAsia="Times New Roman" w:hAnsi="Times New Roman" w:cs="Times New Roman"/>
                <w:spacing w:val="-10"/>
                <w:sz w:val="20"/>
                <w:szCs w:val="20"/>
                <w:lang w:val="id" w:eastAsia="en-US"/>
              </w:rPr>
              <w:t>1</w:t>
            </w:r>
          </w:p>
        </w:tc>
        <w:tc>
          <w:tcPr>
            <w:tcW w:w="928" w:type="dxa"/>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20</w:t>
            </w:r>
          </w:p>
        </w:tc>
        <w:tc>
          <w:tcPr>
            <w:tcW w:w="1275" w:type="dxa"/>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18,3</w:t>
            </w:r>
          </w:p>
        </w:tc>
        <w:tc>
          <w:tcPr>
            <w:tcW w:w="1711"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77"/>
          <w:jc w:val="center"/>
        </w:trPr>
        <w:tc>
          <w:tcPr>
            <w:tcW w:w="1807"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c>
          <w:tcPr>
            <w:tcW w:w="2337" w:type="dxa"/>
          </w:tcPr>
          <w:p w:rsidR="005C49A0" w:rsidRPr="00FA4A79" w:rsidRDefault="005C49A0" w:rsidP="00FA4A79">
            <w:pPr>
              <w:widowControl w:val="0"/>
              <w:autoSpaceDE w:val="0"/>
              <w:autoSpaceDN w:val="0"/>
              <w:spacing w:after="0"/>
              <w:ind w:left="16"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z w:val="20"/>
                <w:szCs w:val="20"/>
                <w:lang w:val="id" w:eastAsia="en-US"/>
              </w:rPr>
              <w:t>X-TAB</w:t>
            </w:r>
            <w:r w:rsidRPr="00FA4A79">
              <w:rPr>
                <w:rFonts w:ascii="Times New Roman" w:eastAsia="Times New Roman" w:hAnsi="Times New Roman" w:cs="Times New Roman"/>
                <w:spacing w:val="-5"/>
                <w:sz w:val="20"/>
                <w:szCs w:val="20"/>
                <w:lang w:val="id" w:eastAsia="en-US"/>
              </w:rPr>
              <w:t xml:space="preserve"> </w:t>
            </w:r>
            <w:r w:rsidRPr="00FA4A79">
              <w:rPr>
                <w:rFonts w:ascii="Times New Roman" w:eastAsia="Times New Roman" w:hAnsi="Times New Roman" w:cs="Times New Roman"/>
                <w:spacing w:val="-10"/>
                <w:sz w:val="20"/>
                <w:szCs w:val="20"/>
                <w:lang w:val="id" w:eastAsia="en-US"/>
              </w:rPr>
              <w:t>2</w:t>
            </w:r>
          </w:p>
        </w:tc>
        <w:tc>
          <w:tcPr>
            <w:tcW w:w="928" w:type="dxa"/>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18</w:t>
            </w:r>
          </w:p>
        </w:tc>
        <w:tc>
          <w:tcPr>
            <w:tcW w:w="1275" w:type="dxa"/>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16,5</w:t>
            </w:r>
          </w:p>
        </w:tc>
        <w:tc>
          <w:tcPr>
            <w:tcW w:w="1711"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77"/>
          <w:jc w:val="center"/>
        </w:trPr>
        <w:tc>
          <w:tcPr>
            <w:tcW w:w="1807"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c>
          <w:tcPr>
            <w:tcW w:w="2337" w:type="dxa"/>
          </w:tcPr>
          <w:p w:rsidR="005C49A0" w:rsidRPr="00FA4A79" w:rsidRDefault="005C49A0" w:rsidP="00FA4A79">
            <w:pPr>
              <w:widowControl w:val="0"/>
              <w:autoSpaceDE w:val="0"/>
              <w:autoSpaceDN w:val="0"/>
              <w:spacing w:after="0"/>
              <w:ind w:left="16"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z w:val="20"/>
                <w:szCs w:val="20"/>
                <w:lang w:val="id" w:eastAsia="en-US"/>
              </w:rPr>
              <w:t>X-TAB</w:t>
            </w:r>
            <w:r w:rsidRPr="00FA4A79">
              <w:rPr>
                <w:rFonts w:ascii="Times New Roman" w:eastAsia="Times New Roman" w:hAnsi="Times New Roman" w:cs="Times New Roman"/>
                <w:spacing w:val="-5"/>
                <w:sz w:val="20"/>
                <w:szCs w:val="20"/>
                <w:lang w:val="id" w:eastAsia="en-US"/>
              </w:rPr>
              <w:t xml:space="preserve"> </w:t>
            </w:r>
            <w:r w:rsidRPr="00FA4A79">
              <w:rPr>
                <w:rFonts w:ascii="Times New Roman" w:eastAsia="Times New Roman" w:hAnsi="Times New Roman" w:cs="Times New Roman"/>
                <w:spacing w:val="-10"/>
                <w:sz w:val="20"/>
                <w:szCs w:val="20"/>
                <w:lang w:val="id" w:eastAsia="en-US"/>
              </w:rPr>
              <w:t>3</w:t>
            </w:r>
          </w:p>
        </w:tc>
        <w:tc>
          <w:tcPr>
            <w:tcW w:w="928" w:type="dxa"/>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18</w:t>
            </w:r>
          </w:p>
        </w:tc>
        <w:tc>
          <w:tcPr>
            <w:tcW w:w="1275" w:type="dxa"/>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16,5</w:t>
            </w:r>
          </w:p>
        </w:tc>
        <w:tc>
          <w:tcPr>
            <w:tcW w:w="1711"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76"/>
          <w:jc w:val="center"/>
        </w:trPr>
        <w:tc>
          <w:tcPr>
            <w:tcW w:w="1807"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c>
          <w:tcPr>
            <w:tcW w:w="2337" w:type="dxa"/>
          </w:tcPr>
          <w:p w:rsidR="005C49A0" w:rsidRPr="00FA4A79" w:rsidRDefault="005C49A0" w:rsidP="00FA4A79">
            <w:pPr>
              <w:widowControl w:val="0"/>
              <w:autoSpaceDE w:val="0"/>
              <w:autoSpaceDN w:val="0"/>
              <w:spacing w:after="0"/>
              <w:ind w:left="16"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X-TSM</w:t>
            </w:r>
          </w:p>
        </w:tc>
        <w:tc>
          <w:tcPr>
            <w:tcW w:w="928" w:type="dxa"/>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10</w:t>
            </w:r>
          </w:p>
        </w:tc>
        <w:tc>
          <w:tcPr>
            <w:tcW w:w="1275" w:type="dxa"/>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9,2</w:t>
            </w:r>
          </w:p>
        </w:tc>
        <w:tc>
          <w:tcPr>
            <w:tcW w:w="1711"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75"/>
          <w:jc w:val="center"/>
        </w:trPr>
        <w:tc>
          <w:tcPr>
            <w:tcW w:w="1807"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c>
          <w:tcPr>
            <w:tcW w:w="2337" w:type="dxa"/>
          </w:tcPr>
          <w:p w:rsidR="005C49A0" w:rsidRPr="00FA4A79" w:rsidRDefault="005C49A0" w:rsidP="00FA4A79">
            <w:pPr>
              <w:widowControl w:val="0"/>
              <w:autoSpaceDE w:val="0"/>
              <w:autoSpaceDN w:val="0"/>
              <w:spacing w:after="0"/>
              <w:ind w:left="14"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3"/>
                <w:sz w:val="20"/>
                <w:szCs w:val="20"/>
                <w:lang w:val="id" w:eastAsia="en-US"/>
              </w:rPr>
              <w:t>X-</w:t>
            </w:r>
            <w:r w:rsidRPr="00FA4A79">
              <w:rPr>
                <w:rFonts w:ascii="Times New Roman" w:eastAsia="Times New Roman" w:hAnsi="Times New Roman" w:cs="Times New Roman"/>
                <w:spacing w:val="-4"/>
                <w:sz w:val="20"/>
                <w:szCs w:val="20"/>
                <w:lang w:val="id" w:eastAsia="en-US"/>
              </w:rPr>
              <w:t>TJKT</w:t>
            </w:r>
          </w:p>
        </w:tc>
        <w:tc>
          <w:tcPr>
            <w:tcW w:w="928" w:type="dxa"/>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10</w:t>
            </w:r>
          </w:p>
        </w:tc>
        <w:tc>
          <w:tcPr>
            <w:tcW w:w="1275" w:type="dxa"/>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9,2</w:t>
            </w:r>
          </w:p>
        </w:tc>
        <w:tc>
          <w:tcPr>
            <w:tcW w:w="1711"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76"/>
          <w:jc w:val="center"/>
        </w:trPr>
        <w:tc>
          <w:tcPr>
            <w:tcW w:w="1807"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c>
          <w:tcPr>
            <w:tcW w:w="2337" w:type="dxa"/>
          </w:tcPr>
          <w:p w:rsidR="005C49A0" w:rsidRPr="00FA4A79" w:rsidRDefault="005C49A0" w:rsidP="00FA4A79">
            <w:pPr>
              <w:widowControl w:val="0"/>
              <w:autoSpaceDE w:val="0"/>
              <w:autoSpaceDN w:val="0"/>
              <w:spacing w:after="0"/>
              <w:ind w:left="6"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3"/>
                <w:sz w:val="20"/>
                <w:szCs w:val="20"/>
                <w:lang w:val="id" w:eastAsia="en-US"/>
              </w:rPr>
              <w:t>X-</w:t>
            </w:r>
            <w:r w:rsidRPr="00FA4A79">
              <w:rPr>
                <w:rFonts w:ascii="Times New Roman" w:eastAsia="Times New Roman" w:hAnsi="Times New Roman" w:cs="Times New Roman"/>
                <w:spacing w:val="-5"/>
                <w:sz w:val="20"/>
                <w:szCs w:val="20"/>
                <w:lang w:val="id" w:eastAsia="en-US"/>
              </w:rPr>
              <w:t>DKV</w:t>
            </w:r>
          </w:p>
        </w:tc>
        <w:tc>
          <w:tcPr>
            <w:tcW w:w="928" w:type="dxa"/>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10"/>
                <w:sz w:val="20"/>
                <w:szCs w:val="20"/>
                <w:lang w:val="id" w:eastAsia="en-US"/>
              </w:rPr>
              <w:t>8</w:t>
            </w:r>
          </w:p>
        </w:tc>
        <w:tc>
          <w:tcPr>
            <w:tcW w:w="1275" w:type="dxa"/>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7,3</w:t>
            </w:r>
          </w:p>
        </w:tc>
        <w:tc>
          <w:tcPr>
            <w:tcW w:w="1711"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85"/>
          <w:jc w:val="center"/>
        </w:trPr>
        <w:tc>
          <w:tcPr>
            <w:tcW w:w="1807" w:type="dxa"/>
            <w:tcBorders>
              <w:bottom w:val="single" w:sz="4" w:space="0" w:color="000000"/>
            </w:tcBorders>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c>
          <w:tcPr>
            <w:tcW w:w="2337" w:type="dxa"/>
            <w:tcBorders>
              <w:bottom w:val="single" w:sz="4" w:space="0" w:color="000000"/>
            </w:tcBorders>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X-AKP</w:t>
            </w:r>
          </w:p>
        </w:tc>
        <w:tc>
          <w:tcPr>
            <w:tcW w:w="928" w:type="dxa"/>
            <w:tcBorders>
              <w:bottom w:val="single" w:sz="4" w:space="0" w:color="000000"/>
            </w:tcBorders>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10"/>
                <w:sz w:val="20"/>
                <w:szCs w:val="20"/>
                <w:lang w:val="id" w:eastAsia="en-US"/>
              </w:rPr>
              <w:t>6</w:t>
            </w:r>
          </w:p>
        </w:tc>
        <w:tc>
          <w:tcPr>
            <w:tcW w:w="1275" w:type="dxa"/>
            <w:tcBorders>
              <w:bottom w:val="single" w:sz="4" w:space="0" w:color="000000"/>
            </w:tcBorders>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5,5</w:t>
            </w:r>
          </w:p>
        </w:tc>
        <w:tc>
          <w:tcPr>
            <w:tcW w:w="1711" w:type="dxa"/>
            <w:tcBorders>
              <w:bottom w:val="single" w:sz="4" w:space="0" w:color="000000"/>
            </w:tcBorders>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64"/>
          <w:jc w:val="center"/>
        </w:trPr>
        <w:tc>
          <w:tcPr>
            <w:tcW w:w="1807" w:type="dxa"/>
            <w:tcBorders>
              <w:top w:val="single" w:sz="4" w:space="0" w:color="000000"/>
            </w:tcBorders>
          </w:tcPr>
          <w:p w:rsidR="005C49A0" w:rsidRPr="00FA4A79" w:rsidRDefault="005C59FA" w:rsidP="00FA4A79">
            <w:pPr>
              <w:widowControl w:val="0"/>
              <w:autoSpaceDE w:val="0"/>
              <w:autoSpaceDN w:val="0"/>
              <w:spacing w:after="0"/>
              <w:ind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z w:val="20"/>
                <w:szCs w:val="20"/>
                <w:lang w:eastAsia="en-US"/>
              </w:rPr>
              <w:t>obtaining HIV/AIDS information</w:t>
            </w:r>
          </w:p>
        </w:tc>
        <w:tc>
          <w:tcPr>
            <w:tcW w:w="2337" w:type="dxa"/>
            <w:tcBorders>
              <w:top w:val="single" w:sz="4" w:space="0" w:color="000000"/>
            </w:tcBorders>
          </w:tcPr>
          <w:p w:rsidR="005C49A0" w:rsidRPr="00FA4A79" w:rsidRDefault="005C49A0" w:rsidP="00FA4A79">
            <w:pPr>
              <w:widowControl w:val="0"/>
              <w:autoSpaceDE w:val="0"/>
              <w:autoSpaceDN w:val="0"/>
              <w:spacing w:after="0"/>
              <w:ind w:left="3"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Iya</w:t>
            </w:r>
          </w:p>
        </w:tc>
        <w:tc>
          <w:tcPr>
            <w:tcW w:w="928" w:type="dxa"/>
            <w:tcBorders>
              <w:top w:val="single" w:sz="4" w:space="0" w:color="000000"/>
            </w:tcBorders>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94</w:t>
            </w:r>
          </w:p>
        </w:tc>
        <w:tc>
          <w:tcPr>
            <w:tcW w:w="1275" w:type="dxa"/>
            <w:tcBorders>
              <w:top w:val="single" w:sz="4" w:space="0" w:color="000000"/>
            </w:tcBorders>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86,2</w:t>
            </w:r>
          </w:p>
        </w:tc>
        <w:tc>
          <w:tcPr>
            <w:tcW w:w="1711" w:type="dxa"/>
            <w:tcBorders>
              <w:top w:val="single" w:sz="4" w:space="0" w:color="000000"/>
            </w:tcBorders>
          </w:tcPr>
          <w:p w:rsidR="005C49A0" w:rsidRPr="00FA4A79" w:rsidRDefault="005C49A0" w:rsidP="00FA4A79">
            <w:pPr>
              <w:widowControl w:val="0"/>
              <w:autoSpaceDE w:val="0"/>
              <w:autoSpaceDN w:val="0"/>
              <w:spacing w:after="0"/>
              <w:ind w:left="77" w:right="20"/>
              <w:jc w:val="center"/>
              <w:rPr>
                <w:rFonts w:ascii="Times New Roman" w:eastAsia="Times New Roman" w:hAnsi="Times New Roman" w:cs="Times New Roman"/>
                <w:b/>
                <w:sz w:val="20"/>
                <w:szCs w:val="20"/>
                <w:lang w:val="id" w:eastAsia="en-US"/>
              </w:rPr>
            </w:pPr>
            <w:r w:rsidRPr="00FA4A79">
              <w:rPr>
                <w:rFonts w:ascii="Times New Roman" w:eastAsia="Times New Roman" w:hAnsi="Times New Roman" w:cs="Times New Roman"/>
                <w:b/>
                <w:spacing w:val="-2"/>
                <w:sz w:val="20"/>
                <w:szCs w:val="20"/>
                <w:lang w:val="id" w:eastAsia="en-US"/>
              </w:rPr>
              <w:t>109/100%</w:t>
            </w:r>
          </w:p>
        </w:tc>
      </w:tr>
      <w:tr w:rsidR="005C49A0" w:rsidRPr="00FA4A79" w:rsidTr="00FA4A79">
        <w:trPr>
          <w:trHeight w:val="276"/>
          <w:jc w:val="center"/>
        </w:trPr>
        <w:tc>
          <w:tcPr>
            <w:tcW w:w="1807"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eastAsia="en-US"/>
              </w:rPr>
            </w:pPr>
          </w:p>
        </w:tc>
        <w:tc>
          <w:tcPr>
            <w:tcW w:w="2337" w:type="dxa"/>
          </w:tcPr>
          <w:p w:rsidR="005C49A0" w:rsidRPr="00FA4A79" w:rsidRDefault="005C49A0" w:rsidP="00FA4A79">
            <w:pPr>
              <w:widowControl w:val="0"/>
              <w:autoSpaceDE w:val="0"/>
              <w:autoSpaceDN w:val="0"/>
              <w:spacing w:after="0"/>
              <w:ind w:left="1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2"/>
                <w:sz w:val="20"/>
                <w:szCs w:val="20"/>
                <w:lang w:val="id" w:eastAsia="en-US"/>
              </w:rPr>
              <w:t>Tidak</w:t>
            </w:r>
          </w:p>
        </w:tc>
        <w:tc>
          <w:tcPr>
            <w:tcW w:w="928" w:type="dxa"/>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5"/>
                <w:sz w:val="20"/>
                <w:szCs w:val="20"/>
                <w:lang w:val="id" w:eastAsia="en-US"/>
              </w:rPr>
              <w:t>15</w:t>
            </w:r>
          </w:p>
        </w:tc>
        <w:tc>
          <w:tcPr>
            <w:tcW w:w="1275" w:type="dxa"/>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z w:val="20"/>
                <w:szCs w:val="20"/>
                <w:lang w:val="id" w:eastAsia="en-US"/>
              </w:rPr>
            </w:pPr>
            <w:r w:rsidRPr="00FA4A79">
              <w:rPr>
                <w:rFonts w:ascii="Times New Roman" w:eastAsia="Times New Roman" w:hAnsi="Times New Roman" w:cs="Times New Roman"/>
                <w:spacing w:val="-4"/>
                <w:sz w:val="20"/>
                <w:szCs w:val="20"/>
                <w:lang w:val="id" w:eastAsia="en-US"/>
              </w:rPr>
              <w:t>13,8</w:t>
            </w:r>
          </w:p>
        </w:tc>
        <w:tc>
          <w:tcPr>
            <w:tcW w:w="1711" w:type="dxa"/>
          </w:tcPr>
          <w:p w:rsidR="005C49A0" w:rsidRPr="00FA4A79" w:rsidRDefault="005C49A0" w:rsidP="00FA4A79">
            <w:pPr>
              <w:widowControl w:val="0"/>
              <w:autoSpaceDE w:val="0"/>
              <w:autoSpaceDN w:val="0"/>
              <w:spacing w:after="0"/>
              <w:ind w:right="20"/>
              <w:rPr>
                <w:rFonts w:ascii="Times New Roman" w:eastAsia="Times New Roman" w:hAnsi="Times New Roman" w:cs="Times New Roman"/>
                <w:sz w:val="20"/>
                <w:szCs w:val="20"/>
                <w:lang w:val="id" w:eastAsia="en-US"/>
              </w:rPr>
            </w:pPr>
          </w:p>
        </w:tc>
      </w:tr>
      <w:tr w:rsidR="005C49A0" w:rsidRPr="00FA4A79" w:rsidTr="00FA4A79">
        <w:trPr>
          <w:trHeight w:val="264"/>
          <w:jc w:val="center"/>
        </w:trPr>
        <w:tc>
          <w:tcPr>
            <w:tcW w:w="1807" w:type="dxa"/>
            <w:tcBorders>
              <w:top w:val="single" w:sz="4" w:space="0" w:color="000000"/>
              <w:bottom w:val="single" w:sz="4" w:space="0" w:color="auto"/>
            </w:tcBorders>
          </w:tcPr>
          <w:p w:rsidR="005C49A0" w:rsidRPr="00FA4A79" w:rsidRDefault="005C59FA" w:rsidP="00FA4A79">
            <w:pPr>
              <w:widowControl w:val="0"/>
              <w:autoSpaceDE w:val="0"/>
              <w:autoSpaceDN w:val="0"/>
              <w:spacing w:after="0"/>
              <w:ind w:left="65"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z w:val="20"/>
                <w:szCs w:val="20"/>
                <w:lang w:eastAsia="en-US"/>
              </w:rPr>
              <w:t>facilities for obtaining information</w:t>
            </w:r>
          </w:p>
        </w:tc>
        <w:tc>
          <w:tcPr>
            <w:tcW w:w="2337" w:type="dxa"/>
            <w:tcBorders>
              <w:top w:val="single" w:sz="4" w:space="0" w:color="000000"/>
              <w:bottom w:val="single" w:sz="4" w:space="0" w:color="auto"/>
            </w:tcBorders>
          </w:tcPr>
          <w:p w:rsidR="005C59FA" w:rsidRPr="00FA4A79" w:rsidRDefault="005C59FA" w:rsidP="00FA4A79">
            <w:pPr>
              <w:widowControl w:val="0"/>
              <w:autoSpaceDE w:val="0"/>
              <w:autoSpaceDN w:val="0"/>
              <w:spacing w:after="0"/>
              <w:ind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z w:val="20"/>
                <w:szCs w:val="20"/>
                <w:lang w:val="en-US" w:eastAsia="en-US"/>
              </w:rPr>
              <w:t>print media</w:t>
            </w:r>
          </w:p>
          <w:p w:rsidR="005C59FA" w:rsidRPr="00FA4A79" w:rsidRDefault="005C59FA" w:rsidP="00FA4A79">
            <w:pPr>
              <w:widowControl w:val="0"/>
              <w:autoSpaceDE w:val="0"/>
              <w:autoSpaceDN w:val="0"/>
              <w:spacing w:after="0"/>
              <w:ind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z w:val="20"/>
                <w:szCs w:val="20"/>
                <w:lang w:val="en-US" w:eastAsia="en-US"/>
              </w:rPr>
              <w:t>other people</w:t>
            </w:r>
          </w:p>
          <w:p w:rsidR="005C49A0" w:rsidRPr="00FA4A79" w:rsidRDefault="005C59FA" w:rsidP="00FA4A79">
            <w:pPr>
              <w:widowControl w:val="0"/>
              <w:autoSpaceDE w:val="0"/>
              <w:autoSpaceDN w:val="0"/>
              <w:spacing w:after="0"/>
              <w:ind w:right="20"/>
              <w:jc w:val="center"/>
              <w:rPr>
                <w:rFonts w:ascii="Times New Roman" w:eastAsia="Times New Roman" w:hAnsi="Times New Roman" w:cs="Times New Roman"/>
                <w:sz w:val="20"/>
                <w:szCs w:val="20"/>
                <w:lang w:val="en-US" w:eastAsia="en-US"/>
              </w:rPr>
            </w:pPr>
            <w:r w:rsidRPr="00FA4A79">
              <w:rPr>
                <w:rFonts w:ascii="Times New Roman" w:eastAsia="Times New Roman" w:hAnsi="Times New Roman" w:cs="Times New Roman"/>
                <w:sz w:val="20"/>
                <w:szCs w:val="20"/>
                <w:lang w:val="en-US" w:eastAsia="en-US"/>
              </w:rPr>
              <w:t>school lessons</w:t>
            </w:r>
          </w:p>
        </w:tc>
        <w:tc>
          <w:tcPr>
            <w:tcW w:w="928" w:type="dxa"/>
            <w:tcBorders>
              <w:top w:val="single" w:sz="4" w:space="0" w:color="000000"/>
              <w:bottom w:val="single" w:sz="4" w:space="0" w:color="auto"/>
            </w:tcBorders>
          </w:tcPr>
          <w:p w:rsidR="005C49A0" w:rsidRPr="00FA4A79" w:rsidRDefault="005C49A0" w:rsidP="00FA4A79">
            <w:pPr>
              <w:widowControl w:val="0"/>
              <w:autoSpaceDE w:val="0"/>
              <w:autoSpaceDN w:val="0"/>
              <w:spacing w:after="0"/>
              <w:ind w:right="20"/>
              <w:jc w:val="center"/>
              <w:rPr>
                <w:rFonts w:ascii="Times New Roman" w:eastAsia="Times New Roman" w:hAnsi="Times New Roman" w:cs="Times New Roman"/>
                <w:spacing w:val="-5"/>
                <w:sz w:val="20"/>
                <w:szCs w:val="20"/>
                <w:lang w:eastAsia="en-US"/>
              </w:rPr>
            </w:pPr>
            <w:r w:rsidRPr="00FA4A79">
              <w:rPr>
                <w:rFonts w:ascii="Times New Roman" w:eastAsia="Times New Roman" w:hAnsi="Times New Roman" w:cs="Times New Roman"/>
                <w:spacing w:val="-5"/>
                <w:sz w:val="20"/>
                <w:szCs w:val="20"/>
                <w:lang w:val="id" w:eastAsia="en-US"/>
              </w:rPr>
              <w:t>47</w:t>
            </w:r>
          </w:p>
          <w:p w:rsidR="005C59FA" w:rsidRPr="00FA4A79" w:rsidRDefault="005C59FA" w:rsidP="00FA4A79">
            <w:pPr>
              <w:widowControl w:val="0"/>
              <w:autoSpaceDE w:val="0"/>
              <w:autoSpaceDN w:val="0"/>
              <w:spacing w:after="0"/>
              <w:ind w:right="20"/>
              <w:jc w:val="center"/>
              <w:rPr>
                <w:rFonts w:ascii="Times New Roman" w:eastAsia="Times New Roman" w:hAnsi="Times New Roman" w:cs="Times New Roman"/>
                <w:spacing w:val="-5"/>
                <w:sz w:val="20"/>
                <w:szCs w:val="20"/>
                <w:lang w:eastAsia="en-US"/>
              </w:rPr>
            </w:pPr>
            <w:r w:rsidRPr="00FA4A79">
              <w:rPr>
                <w:rFonts w:ascii="Times New Roman" w:eastAsia="Times New Roman" w:hAnsi="Times New Roman" w:cs="Times New Roman"/>
                <w:spacing w:val="-5"/>
                <w:sz w:val="20"/>
                <w:szCs w:val="20"/>
                <w:lang w:eastAsia="en-US"/>
              </w:rPr>
              <w:t>20</w:t>
            </w:r>
          </w:p>
          <w:p w:rsidR="005C59FA" w:rsidRPr="00FA4A79" w:rsidRDefault="005C59FA" w:rsidP="00FA4A79">
            <w:pPr>
              <w:widowControl w:val="0"/>
              <w:autoSpaceDE w:val="0"/>
              <w:autoSpaceDN w:val="0"/>
              <w:spacing w:after="0"/>
              <w:ind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pacing w:val="-5"/>
                <w:sz w:val="20"/>
                <w:szCs w:val="20"/>
                <w:lang w:eastAsia="en-US"/>
              </w:rPr>
              <w:t>25</w:t>
            </w:r>
          </w:p>
        </w:tc>
        <w:tc>
          <w:tcPr>
            <w:tcW w:w="1275" w:type="dxa"/>
            <w:tcBorders>
              <w:top w:val="single" w:sz="4" w:space="0" w:color="000000"/>
              <w:bottom w:val="single" w:sz="4" w:space="0" w:color="auto"/>
            </w:tcBorders>
          </w:tcPr>
          <w:p w:rsidR="005C49A0" w:rsidRPr="00FA4A79" w:rsidRDefault="005C49A0" w:rsidP="00FA4A79">
            <w:pPr>
              <w:widowControl w:val="0"/>
              <w:autoSpaceDE w:val="0"/>
              <w:autoSpaceDN w:val="0"/>
              <w:spacing w:after="0"/>
              <w:ind w:left="130" w:right="20"/>
              <w:jc w:val="center"/>
              <w:rPr>
                <w:rFonts w:ascii="Times New Roman" w:eastAsia="Times New Roman" w:hAnsi="Times New Roman" w:cs="Times New Roman"/>
                <w:spacing w:val="-4"/>
                <w:sz w:val="20"/>
                <w:szCs w:val="20"/>
                <w:lang w:eastAsia="en-US"/>
              </w:rPr>
            </w:pPr>
            <w:r w:rsidRPr="00FA4A79">
              <w:rPr>
                <w:rFonts w:ascii="Times New Roman" w:eastAsia="Times New Roman" w:hAnsi="Times New Roman" w:cs="Times New Roman"/>
                <w:spacing w:val="-4"/>
                <w:sz w:val="20"/>
                <w:szCs w:val="20"/>
                <w:lang w:val="id" w:eastAsia="en-US"/>
              </w:rPr>
              <w:t>43,1</w:t>
            </w:r>
          </w:p>
          <w:p w:rsidR="005C59FA" w:rsidRPr="00FA4A79" w:rsidRDefault="005C59FA" w:rsidP="00FA4A79">
            <w:pPr>
              <w:widowControl w:val="0"/>
              <w:autoSpaceDE w:val="0"/>
              <w:autoSpaceDN w:val="0"/>
              <w:spacing w:after="0"/>
              <w:ind w:left="130" w:right="20"/>
              <w:jc w:val="center"/>
              <w:rPr>
                <w:rFonts w:ascii="Times New Roman" w:eastAsia="Times New Roman" w:hAnsi="Times New Roman" w:cs="Times New Roman"/>
                <w:spacing w:val="-4"/>
                <w:sz w:val="20"/>
                <w:szCs w:val="20"/>
                <w:lang w:eastAsia="en-US"/>
              </w:rPr>
            </w:pPr>
            <w:r w:rsidRPr="00FA4A79">
              <w:rPr>
                <w:rFonts w:ascii="Times New Roman" w:eastAsia="Times New Roman" w:hAnsi="Times New Roman" w:cs="Times New Roman"/>
                <w:spacing w:val="-4"/>
                <w:sz w:val="20"/>
                <w:szCs w:val="20"/>
                <w:lang w:eastAsia="en-US"/>
              </w:rPr>
              <w:t>18,3</w:t>
            </w:r>
          </w:p>
          <w:p w:rsidR="005C59FA" w:rsidRPr="00FA4A79" w:rsidRDefault="005C59FA" w:rsidP="00FA4A79">
            <w:pPr>
              <w:widowControl w:val="0"/>
              <w:autoSpaceDE w:val="0"/>
              <w:autoSpaceDN w:val="0"/>
              <w:spacing w:after="0"/>
              <w:ind w:left="130" w:right="20"/>
              <w:jc w:val="center"/>
              <w:rPr>
                <w:rFonts w:ascii="Times New Roman" w:eastAsia="Times New Roman" w:hAnsi="Times New Roman" w:cs="Times New Roman"/>
                <w:sz w:val="20"/>
                <w:szCs w:val="20"/>
                <w:lang w:eastAsia="en-US"/>
              </w:rPr>
            </w:pPr>
            <w:r w:rsidRPr="00FA4A79">
              <w:rPr>
                <w:rFonts w:ascii="Times New Roman" w:eastAsia="Times New Roman" w:hAnsi="Times New Roman" w:cs="Times New Roman"/>
                <w:spacing w:val="-4"/>
                <w:sz w:val="20"/>
                <w:szCs w:val="20"/>
                <w:lang w:eastAsia="en-US"/>
              </w:rPr>
              <w:t>22,9</w:t>
            </w:r>
          </w:p>
        </w:tc>
        <w:tc>
          <w:tcPr>
            <w:tcW w:w="1711" w:type="dxa"/>
            <w:tcBorders>
              <w:top w:val="single" w:sz="4" w:space="0" w:color="000000"/>
              <w:bottom w:val="single" w:sz="4" w:space="0" w:color="auto"/>
            </w:tcBorders>
          </w:tcPr>
          <w:p w:rsidR="005C49A0" w:rsidRPr="00FA4A79" w:rsidRDefault="005C49A0" w:rsidP="00FA4A79">
            <w:pPr>
              <w:widowControl w:val="0"/>
              <w:autoSpaceDE w:val="0"/>
              <w:autoSpaceDN w:val="0"/>
              <w:spacing w:after="0"/>
              <w:ind w:left="77" w:right="20"/>
              <w:jc w:val="center"/>
              <w:rPr>
                <w:rFonts w:ascii="Times New Roman" w:eastAsia="Times New Roman" w:hAnsi="Times New Roman" w:cs="Times New Roman"/>
                <w:b/>
                <w:sz w:val="20"/>
                <w:szCs w:val="20"/>
                <w:lang w:val="id" w:eastAsia="en-US"/>
              </w:rPr>
            </w:pPr>
            <w:r w:rsidRPr="00FA4A79">
              <w:rPr>
                <w:rFonts w:ascii="Times New Roman" w:eastAsia="Times New Roman" w:hAnsi="Times New Roman" w:cs="Times New Roman"/>
                <w:b/>
                <w:spacing w:val="-2"/>
                <w:sz w:val="20"/>
                <w:szCs w:val="20"/>
                <w:lang w:val="id" w:eastAsia="en-US"/>
              </w:rPr>
              <w:t>109/100%</w:t>
            </w:r>
          </w:p>
        </w:tc>
      </w:tr>
    </w:tbl>
    <w:p w:rsidR="005C49A0" w:rsidRPr="00FA4A79" w:rsidRDefault="005C49A0" w:rsidP="00FA4A79">
      <w:pPr>
        <w:spacing w:after="0"/>
        <w:ind w:right="20"/>
        <w:jc w:val="both"/>
        <w:rPr>
          <w:rFonts w:ascii="Times New Roman" w:hAnsi="Times New Roman" w:cs="Times New Roman"/>
          <w:bCs/>
        </w:rPr>
      </w:pPr>
    </w:p>
    <w:p w:rsidR="005C59FA" w:rsidRPr="00FA4A79" w:rsidRDefault="005C59FA" w:rsidP="00FA4A79">
      <w:pPr>
        <w:spacing w:after="0"/>
        <w:ind w:right="20" w:firstLine="567"/>
        <w:jc w:val="both"/>
        <w:rPr>
          <w:rFonts w:ascii="Times New Roman" w:hAnsi="Times New Roman" w:cs="Times New Roman"/>
          <w:bCs/>
        </w:rPr>
      </w:pPr>
      <w:r w:rsidRPr="00FA4A79">
        <w:rPr>
          <w:rFonts w:ascii="Times New Roman" w:hAnsi="Times New Roman" w:cs="Times New Roman"/>
          <w:bCs/>
        </w:rPr>
        <w:t>Based on table 4.1 above, it can be seen that the respondents in this study were all 10th-grade students. There were 109 respondents in this study. Respondent characteristics included class, age, gender, HIV/AIDS information, and information acquisition facilities. The most common respondents in this study were from the X-TAB 1 major, with 20 respondents (18.3%), 16 years old with 74 respondents (67.9%), and male gender with 89 respondents (81.7%). There were 94 respondents (86.2%) who answered Yes, meaning they had received information about HIV/AIDS. Respondents received information from print media, totaling 47 respondents (43.1%). Frequency Distribution of Adolescent Knowledge About HIV/AIDS Before and After Animated Video Intervention at SMK Istiqomah Muhammadiyah 4 Samarinda. Based on table 4.1 above, it can be seen that the respondents in this study were all 10th-grade students. There were 109 respondents in this study. Respondent characteristics included class, age, gender, HIV/AIDS information, and information acquisition facilities. The most common respondents in this study were from the X-TAB 1 major, with 20 respondents (18.3%), 16 years old with 74 respondents (67.9%), and male gender with 89 respondents (81.7%). There were 94 respondents (86.2%) who answered Yes, meaning they had received information about HIV/AIDS. Respondents received information from print media, totaling 47 respondents (43.1%).</w:t>
      </w:r>
    </w:p>
    <w:p w:rsidR="00FA4A79" w:rsidRDefault="00FA4A79" w:rsidP="00FA4A79">
      <w:pPr>
        <w:spacing w:after="0"/>
        <w:ind w:right="20"/>
        <w:jc w:val="center"/>
        <w:rPr>
          <w:rFonts w:ascii="Times New Roman" w:hAnsi="Times New Roman" w:cs="Times New Roman"/>
          <w:bCs/>
        </w:rPr>
      </w:pPr>
    </w:p>
    <w:p w:rsidR="00FA4A79" w:rsidRDefault="00FA4A79" w:rsidP="00FA4A79">
      <w:pPr>
        <w:spacing w:after="0"/>
        <w:ind w:right="20"/>
        <w:jc w:val="center"/>
        <w:rPr>
          <w:rFonts w:ascii="Times New Roman" w:hAnsi="Times New Roman" w:cs="Times New Roman"/>
          <w:bCs/>
        </w:rPr>
      </w:pPr>
    </w:p>
    <w:p w:rsidR="00FA4A79" w:rsidRDefault="00FA4A79" w:rsidP="00FA4A79">
      <w:pPr>
        <w:spacing w:after="0"/>
        <w:ind w:right="20"/>
        <w:jc w:val="center"/>
        <w:rPr>
          <w:rFonts w:ascii="Times New Roman" w:hAnsi="Times New Roman" w:cs="Times New Roman"/>
          <w:bCs/>
        </w:rPr>
      </w:pPr>
    </w:p>
    <w:p w:rsidR="00FA4A79" w:rsidRDefault="00FA4A79" w:rsidP="00FA4A79">
      <w:pPr>
        <w:spacing w:after="0"/>
        <w:ind w:right="20"/>
        <w:jc w:val="center"/>
        <w:rPr>
          <w:rFonts w:ascii="Times New Roman" w:hAnsi="Times New Roman" w:cs="Times New Roman"/>
          <w:bCs/>
        </w:rPr>
      </w:pPr>
    </w:p>
    <w:p w:rsidR="00FA4A79" w:rsidRDefault="00FA4A79" w:rsidP="00FA4A79">
      <w:pPr>
        <w:spacing w:after="0"/>
        <w:ind w:right="20"/>
        <w:jc w:val="center"/>
        <w:rPr>
          <w:rFonts w:ascii="Times New Roman" w:hAnsi="Times New Roman" w:cs="Times New Roman"/>
          <w:bCs/>
        </w:rPr>
      </w:pPr>
    </w:p>
    <w:p w:rsidR="00FA4A79" w:rsidRDefault="00FA4A79" w:rsidP="00FA4A79">
      <w:pPr>
        <w:spacing w:after="0"/>
        <w:ind w:right="20"/>
        <w:jc w:val="center"/>
        <w:rPr>
          <w:rFonts w:ascii="Times New Roman" w:hAnsi="Times New Roman" w:cs="Times New Roman"/>
          <w:bCs/>
        </w:rPr>
      </w:pPr>
    </w:p>
    <w:p w:rsidR="005C59FA" w:rsidRPr="00FA4A79" w:rsidRDefault="006D6631" w:rsidP="00FA4A79">
      <w:pPr>
        <w:spacing w:after="0"/>
        <w:ind w:right="20"/>
        <w:jc w:val="center"/>
        <w:rPr>
          <w:rFonts w:ascii="Times New Roman" w:hAnsi="Times New Roman" w:cs="Times New Roman"/>
          <w:b/>
        </w:rPr>
      </w:pPr>
      <w:r w:rsidRPr="00FA4A79">
        <w:rPr>
          <w:rFonts w:ascii="Times New Roman" w:hAnsi="Times New Roman" w:cs="Times New Roman"/>
          <w:b/>
        </w:rPr>
        <w:lastRenderedPageBreak/>
        <w:t xml:space="preserve">Table </w:t>
      </w:r>
      <w:r w:rsidR="00FA4A79" w:rsidRPr="00FA4A79">
        <w:rPr>
          <w:rFonts w:ascii="Times New Roman" w:hAnsi="Times New Roman" w:cs="Times New Roman"/>
          <w:b/>
        </w:rPr>
        <w:t xml:space="preserve">2 </w:t>
      </w:r>
      <w:r w:rsidRPr="00FA4A79">
        <w:rPr>
          <w:rFonts w:ascii="Times New Roman" w:hAnsi="Times New Roman" w:cs="Times New Roman"/>
          <w:b/>
        </w:rPr>
        <w:t>Frequency Distribution of Adolescent Knowledge Before and After Animated Video Intervention</w:t>
      </w:r>
    </w:p>
    <w:tbl>
      <w:tblPr>
        <w:tblW w:w="0" w:type="auto"/>
        <w:jc w:val="center"/>
        <w:tblLayout w:type="fixed"/>
        <w:tblCellMar>
          <w:left w:w="0" w:type="dxa"/>
          <w:right w:w="0" w:type="dxa"/>
        </w:tblCellMar>
        <w:tblLook w:val="01E0" w:firstRow="1" w:lastRow="1" w:firstColumn="1" w:lastColumn="1" w:noHBand="0" w:noVBand="0"/>
      </w:tblPr>
      <w:tblGrid>
        <w:gridCol w:w="1639"/>
        <w:gridCol w:w="1889"/>
        <w:gridCol w:w="1581"/>
        <w:gridCol w:w="1780"/>
      </w:tblGrid>
      <w:tr w:rsidR="006D6631" w:rsidRPr="00FA4A79" w:rsidTr="00FA4A79">
        <w:trPr>
          <w:trHeight w:val="367"/>
          <w:jc w:val="center"/>
        </w:trPr>
        <w:tc>
          <w:tcPr>
            <w:tcW w:w="1639" w:type="dxa"/>
            <w:tcBorders>
              <w:top w:val="single" w:sz="4" w:space="0" w:color="000000"/>
              <w:bottom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b/>
                <w:sz w:val="20"/>
                <w:szCs w:val="20"/>
                <w:lang w:val="id"/>
              </w:rPr>
            </w:pPr>
            <w:r w:rsidRPr="00FA4A79">
              <w:rPr>
                <w:rFonts w:ascii="Times New Roman" w:eastAsia="Times New Roman" w:hAnsi="Times New Roman" w:cs="Times New Roman"/>
                <w:b/>
                <w:sz w:val="20"/>
                <w:szCs w:val="20"/>
                <w:lang w:val="id"/>
              </w:rPr>
              <w:t>Intervensi</w:t>
            </w:r>
          </w:p>
        </w:tc>
        <w:tc>
          <w:tcPr>
            <w:tcW w:w="1889" w:type="dxa"/>
            <w:tcBorders>
              <w:top w:val="single" w:sz="4" w:space="0" w:color="000000"/>
              <w:bottom w:val="single" w:sz="4" w:space="0" w:color="000000"/>
            </w:tcBorders>
          </w:tcPr>
          <w:p w:rsidR="006D6631" w:rsidRPr="00FA4A79" w:rsidRDefault="006D6631" w:rsidP="00FA4A79">
            <w:pPr>
              <w:pStyle w:val="ListParagraph"/>
              <w:tabs>
                <w:tab w:val="left" w:pos="567"/>
              </w:tabs>
              <w:spacing w:after="0"/>
              <w:ind w:right="20"/>
              <w:jc w:val="both"/>
              <w:rPr>
                <w:rFonts w:ascii="Times New Roman" w:eastAsia="Times New Roman" w:hAnsi="Times New Roman" w:cs="Times New Roman"/>
                <w:sz w:val="20"/>
                <w:szCs w:val="20"/>
                <w:lang w:val="id"/>
              </w:rPr>
            </w:pPr>
          </w:p>
        </w:tc>
        <w:tc>
          <w:tcPr>
            <w:tcW w:w="1581" w:type="dxa"/>
            <w:tcBorders>
              <w:top w:val="single" w:sz="4" w:space="0" w:color="000000"/>
              <w:bottom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b/>
                <w:sz w:val="20"/>
                <w:szCs w:val="20"/>
                <w:lang w:val="id"/>
              </w:rPr>
            </w:pPr>
            <w:r w:rsidRPr="00FA4A79">
              <w:rPr>
                <w:rFonts w:ascii="Times New Roman" w:eastAsia="Times New Roman" w:hAnsi="Times New Roman" w:cs="Times New Roman"/>
                <w:b/>
                <w:sz w:val="20"/>
                <w:szCs w:val="20"/>
                <w:lang w:val="id"/>
              </w:rPr>
              <w:t>N</w:t>
            </w:r>
          </w:p>
        </w:tc>
        <w:tc>
          <w:tcPr>
            <w:tcW w:w="1780" w:type="dxa"/>
            <w:tcBorders>
              <w:top w:val="single" w:sz="4" w:space="0" w:color="000000"/>
              <w:bottom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b/>
                <w:sz w:val="20"/>
                <w:szCs w:val="20"/>
                <w:lang w:val="id"/>
              </w:rPr>
            </w:pPr>
            <w:r w:rsidRPr="00FA4A79">
              <w:rPr>
                <w:rFonts w:ascii="Times New Roman" w:eastAsia="Times New Roman" w:hAnsi="Times New Roman" w:cs="Times New Roman"/>
                <w:b/>
                <w:sz w:val="20"/>
                <w:szCs w:val="20"/>
                <w:lang w:val="id"/>
              </w:rPr>
              <w:t>%</w:t>
            </w:r>
          </w:p>
        </w:tc>
      </w:tr>
      <w:tr w:rsidR="006D6631" w:rsidRPr="00FA4A79" w:rsidTr="00FA4A79">
        <w:trPr>
          <w:trHeight w:val="532"/>
          <w:jc w:val="center"/>
        </w:trPr>
        <w:tc>
          <w:tcPr>
            <w:tcW w:w="1639" w:type="dxa"/>
            <w:tcBorders>
              <w:top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rPr>
            </w:pPr>
            <w:r w:rsidRPr="00FA4A79">
              <w:rPr>
                <w:rFonts w:ascii="Times New Roman" w:eastAsia="Times New Roman" w:hAnsi="Times New Roman" w:cs="Times New Roman"/>
                <w:sz w:val="20"/>
                <w:szCs w:val="20"/>
              </w:rPr>
              <w:t xml:space="preserve">Before </w:t>
            </w:r>
          </w:p>
        </w:tc>
        <w:tc>
          <w:tcPr>
            <w:tcW w:w="1889" w:type="dxa"/>
            <w:tcBorders>
              <w:top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rPr>
            </w:pPr>
            <w:r w:rsidRPr="00FA4A79">
              <w:rPr>
                <w:rFonts w:ascii="Times New Roman" w:eastAsia="Times New Roman" w:hAnsi="Times New Roman" w:cs="Times New Roman"/>
                <w:sz w:val="20"/>
                <w:szCs w:val="20"/>
              </w:rPr>
              <w:t>Enough</w:t>
            </w:r>
          </w:p>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rPr>
            </w:pPr>
            <w:r w:rsidRPr="00FA4A79">
              <w:rPr>
                <w:rFonts w:ascii="Times New Roman" w:eastAsia="Times New Roman" w:hAnsi="Times New Roman" w:cs="Times New Roman"/>
                <w:sz w:val="20"/>
                <w:szCs w:val="20"/>
              </w:rPr>
              <w:t xml:space="preserve">Good </w:t>
            </w:r>
          </w:p>
        </w:tc>
        <w:tc>
          <w:tcPr>
            <w:tcW w:w="1581" w:type="dxa"/>
            <w:tcBorders>
              <w:top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16</w:t>
            </w:r>
          </w:p>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49</w:t>
            </w:r>
          </w:p>
        </w:tc>
        <w:tc>
          <w:tcPr>
            <w:tcW w:w="1780" w:type="dxa"/>
            <w:tcBorders>
              <w:top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22,8</w:t>
            </w:r>
          </w:p>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45</w:t>
            </w:r>
          </w:p>
        </w:tc>
      </w:tr>
      <w:tr w:rsidR="006D6631" w:rsidRPr="00FA4A79" w:rsidTr="00FA4A79">
        <w:trPr>
          <w:trHeight w:val="288"/>
          <w:jc w:val="center"/>
        </w:trPr>
        <w:tc>
          <w:tcPr>
            <w:tcW w:w="1639" w:type="dxa"/>
            <w:tcBorders>
              <w:bottom w:val="single" w:sz="4" w:space="0" w:color="000000"/>
            </w:tcBorders>
          </w:tcPr>
          <w:p w:rsidR="006D6631" w:rsidRPr="00FA4A79" w:rsidRDefault="006D6631" w:rsidP="00FA4A79">
            <w:pPr>
              <w:pStyle w:val="ListParagraph"/>
              <w:tabs>
                <w:tab w:val="left" w:pos="567"/>
              </w:tabs>
              <w:spacing w:after="0"/>
              <w:ind w:right="20"/>
              <w:jc w:val="both"/>
              <w:rPr>
                <w:rFonts w:ascii="Times New Roman" w:eastAsia="Times New Roman" w:hAnsi="Times New Roman" w:cs="Times New Roman"/>
                <w:sz w:val="20"/>
                <w:szCs w:val="20"/>
                <w:lang w:val="id"/>
              </w:rPr>
            </w:pPr>
          </w:p>
        </w:tc>
        <w:tc>
          <w:tcPr>
            <w:tcW w:w="1889" w:type="dxa"/>
            <w:tcBorders>
              <w:bottom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rPr>
            </w:pPr>
            <w:r w:rsidRPr="00FA4A79">
              <w:rPr>
                <w:rFonts w:ascii="Times New Roman" w:eastAsia="Times New Roman" w:hAnsi="Times New Roman" w:cs="Times New Roman"/>
                <w:sz w:val="20"/>
                <w:szCs w:val="20"/>
              </w:rPr>
              <w:t xml:space="preserve">Poor </w:t>
            </w:r>
          </w:p>
        </w:tc>
        <w:tc>
          <w:tcPr>
            <w:tcW w:w="1581" w:type="dxa"/>
            <w:tcBorders>
              <w:bottom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44</w:t>
            </w:r>
          </w:p>
        </w:tc>
        <w:tc>
          <w:tcPr>
            <w:tcW w:w="1780" w:type="dxa"/>
            <w:tcBorders>
              <w:bottom w:val="single" w:sz="4" w:space="0" w:color="000000"/>
            </w:tcBorders>
          </w:tcPr>
          <w:p w:rsidR="006D6631" w:rsidRPr="00FA4A79" w:rsidRDefault="006D6631" w:rsidP="00FA4A79">
            <w:pPr>
              <w:tabs>
                <w:tab w:val="left" w:pos="567"/>
              </w:tabs>
              <w:spacing w:after="0"/>
              <w:ind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48,4</w:t>
            </w:r>
          </w:p>
        </w:tc>
      </w:tr>
      <w:tr w:rsidR="006D6631" w:rsidRPr="00FA4A79" w:rsidTr="00FA4A79">
        <w:trPr>
          <w:trHeight w:val="534"/>
          <w:jc w:val="center"/>
        </w:trPr>
        <w:tc>
          <w:tcPr>
            <w:tcW w:w="1639" w:type="dxa"/>
            <w:tcBorders>
              <w:top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rPr>
            </w:pPr>
            <w:r w:rsidRPr="00FA4A79">
              <w:rPr>
                <w:rFonts w:ascii="Times New Roman" w:eastAsia="Times New Roman" w:hAnsi="Times New Roman" w:cs="Times New Roman"/>
                <w:sz w:val="20"/>
                <w:szCs w:val="20"/>
              </w:rPr>
              <w:t xml:space="preserve">After </w:t>
            </w:r>
          </w:p>
        </w:tc>
        <w:tc>
          <w:tcPr>
            <w:tcW w:w="1889" w:type="dxa"/>
            <w:tcBorders>
              <w:top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rPr>
            </w:pPr>
            <w:r w:rsidRPr="00FA4A79">
              <w:rPr>
                <w:rFonts w:ascii="Times New Roman" w:eastAsia="Times New Roman" w:hAnsi="Times New Roman" w:cs="Times New Roman"/>
                <w:sz w:val="20"/>
                <w:szCs w:val="20"/>
              </w:rPr>
              <w:t>Enough</w:t>
            </w:r>
          </w:p>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rPr>
            </w:pPr>
            <w:r w:rsidRPr="00FA4A79">
              <w:rPr>
                <w:rFonts w:ascii="Times New Roman" w:eastAsia="Times New Roman" w:hAnsi="Times New Roman" w:cs="Times New Roman"/>
                <w:sz w:val="20"/>
                <w:szCs w:val="20"/>
              </w:rPr>
              <w:t xml:space="preserve">Good </w:t>
            </w:r>
          </w:p>
        </w:tc>
        <w:tc>
          <w:tcPr>
            <w:tcW w:w="1581" w:type="dxa"/>
            <w:tcBorders>
              <w:top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99</w:t>
            </w:r>
          </w:p>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9</w:t>
            </w:r>
          </w:p>
        </w:tc>
        <w:tc>
          <w:tcPr>
            <w:tcW w:w="1780" w:type="dxa"/>
            <w:tcBorders>
              <w:top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90,8</w:t>
            </w:r>
          </w:p>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16,4</w:t>
            </w:r>
          </w:p>
        </w:tc>
      </w:tr>
      <w:tr w:rsidR="006D6631" w:rsidRPr="00FA4A79" w:rsidTr="00FA4A79">
        <w:trPr>
          <w:trHeight w:val="302"/>
          <w:jc w:val="center"/>
        </w:trPr>
        <w:tc>
          <w:tcPr>
            <w:tcW w:w="1639" w:type="dxa"/>
            <w:tcBorders>
              <w:bottom w:val="single" w:sz="4" w:space="0" w:color="000000"/>
            </w:tcBorders>
          </w:tcPr>
          <w:p w:rsidR="006D6631" w:rsidRPr="00FA4A79" w:rsidRDefault="006D6631" w:rsidP="00FA4A79">
            <w:pPr>
              <w:pStyle w:val="ListParagraph"/>
              <w:tabs>
                <w:tab w:val="left" w:pos="567"/>
              </w:tabs>
              <w:spacing w:after="0"/>
              <w:ind w:right="20"/>
              <w:jc w:val="both"/>
              <w:rPr>
                <w:rFonts w:ascii="Times New Roman" w:eastAsia="Times New Roman" w:hAnsi="Times New Roman" w:cs="Times New Roman"/>
                <w:sz w:val="20"/>
                <w:szCs w:val="20"/>
                <w:lang w:val="id"/>
              </w:rPr>
            </w:pPr>
          </w:p>
        </w:tc>
        <w:tc>
          <w:tcPr>
            <w:tcW w:w="1889" w:type="dxa"/>
            <w:tcBorders>
              <w:bottom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rPr>
            </w:pPr>
            <w:r w:rsidRPr="00FA4A79">
              <w:rPr>
                <w:rFonts w:ascii="Times New Roman" w:eastAsia="Times New Roman" w:hAnsi="Times New Roman" w:cs="Times New Roman"/>
                <w:sz w:val="20"/>
                <w:szCs w:val="20"/>
              </w:rPr>
              <w:t xml:space="preserve">Poor </w:t>
            </w:r>
          </w:p>
        </w:tc>
        <w:tc>
          <w:tcPr>
            <w:tcW w:w="1581" w:type="dxa"/>
            <w:tcBorders>
              <w:bottom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1</w:t>
            </w:r>
          </w:p>
        </w:tc>
        <w:tc>
          <w:tcPr>
            <w:tcW w:w="1780" w:type="dxa"/>
            <w:tcBorders>
              <w:bottom w:val="single" w:sz="4" w:space="0" w:color="000000"/>
            </w:tcBorders>
          </w:tcPr>
          <w:p w:rsidR="006D6631" w:rsidRPr="00FA4A79" w:rsidRDefault="006D6631" w:rsidP="00FA4A79">
            <w:pPr>
              <w:pStyle w:val="ListParagraph"/>
              <w:tabs>
                <w:tab w:val="left" w:pos="567"/>
              </w:tabs>
              <w:spacing w:after="0"/>
              <w:ind w:left="0" w:right="20"/>
              <w:jc w:val="both"/>
              <w:rPr>
                <w:rFonts w:ascii="Times New Roman" w:eastAsia="Times New Roman" w:hAnsi="Times New Roman" w:cs="Times New Roman"/>
                <w:sz w:val="20"/>
                <w:szCs w:val="20"/>
                <w:lang w:val="id"/>
              </w:rPr>
            </w:pPr>
            <w:r w:rsidRPr="00FA4A79">
              <w:rPr>
                <w:rFonts w:ascii="Times New Roman" w:eastAsia="Times New Roman" w:hAnsi="Times New Roman" w:cs="Times New Roman"/>
                <w:sz w:val="20"/>
                <w:szCs w:val="20"/>
                <w:lang w:val="id"/>
              </w:rPr>
              <w:t>9</w:t>
            </w:r>
          </w:p>
        </w:tc>
      </w:tr>
    </w:tbl>
    <w:p w:rsidR="006D6631" w:rsidRPr="00FA4A79" w:rsidRDefault="006D6631" w:rsidP="00FA4A79">
      <w:pPr>
        <w:spacing w:after="0"/>
        <w:ind w:right="20"/>
        <w:jc w:val="both"/>
        <w:rPr>
          <w:rFonts w:ascii="Times New Roman" w:hAnsi="Times New Roman" w:cs="Times New Roman"/>
          <w:b/>
        </w:rPr>
      </w:pPr>
    </w:p>
    <w:p w:rsidR="006D6631" w:rsidRPr="00FA4A79" w:rsidRDefault="006D6631" w:rsidP="00FA4A79">
      <w:pPr>
        <w:spacing w:after="0"/>
        <w:ind w:right="20" w:firstLine="567"/>
        <w:jc w:val="both"/>
        <w:rPr>
          <w:rFonts w:ascii="Times New Roman" w:hAnsi="Times New Roman" w:cs="Times New Roman"/>
          <w:bCs/>
        </w:rPr>
      </w:pPr>
      <w:r w:rsidRPr="00FA4A79">
        <w:rPr>
          <w:rFonts w:ascii="Times New Roman" w:hAnsi="Times New Roman" w:cs="Times New Roman"/>
          <w:bCs/>
        </w:rPr>
        <w:t>Based on table 4.2, it can be seen that after the animated video intervention, the number of adolescents with good knowledge became 99 respondents (90.8%).</w:t>
      </w:r>
    </w:p>
    <w:p w:rsidR="00FA4A79" w:rsidRDefault="00FA4A79" w:rsidP="00FA4A79">
      <w:pPr>
        <w:spacing w:after="0"/>
        <w:ind w:right="20"/>
        <w:jc w:val="center"/>
        <w:rPr>
          <w:rFonts w:ascii="Times New Roman" w:hAnsi="Times New Roman" w:cs="Times New Roman"/>
          <w:bCs/>
        </w:rPr>
      </w:pPr>
    </w:p>
    <w:p w:rsidR="006D6631" w:rsidRPr="00FA4A79" w:rsidRDefault="006D6631" w:rsidP="00FA4A79">
      <w:pPr>
        <w:spacing w:after="0"/>
        <w:ind w:right="20"/>
        <w:jc w:val="center"/>
        <w:rPr>
          <w:rFonts w:ascii="Times New Roman" w:hAnsi="Times New Roman" w:cs="Times New Roman"/>
          <w:b/>
        </w:rPr>
      </w:pPr>
      <w:r w:rsidRPr="00FA4A79">
        <w:rPr>
          <w:rFonts w:ascii="Times New Roman" w:hAnsi="Times New Roman" w:cs="Times New Roman"/>
          <w:b/>
        </w:rPr>
        <w:t xml:space="preserve">Table </w:t>
      </w:r>
      <w:r w:rsidR="00FA4A79" w:rsidRPr="00FA4A79">
        <w:rPr>
          <w:rFonts w:ascii="Times New Roman" w:hAnsi="Times New Roman" w:cs="Times New Roman"/>
          <w:b/>
        </w:rPr>
        <w:t xml:space="preserve">3 </w:t>
      </w:r>
      <w:r w:rsidRPr="00FA4A79">
        <w:rPr>
          <w:rFonts w:ascii="Times New Roman" w:hAnsi="Times New Roman" w:cs="Times New Roman"/>
          <w:b/>
        </w:rPr>
        <w:t>Analysis of the Effect of Animated Video Media on the Knowledge Level of Adolescents About HIV/AIDS</w:t>
      </w:r>
    </w:p>
    <w:tbl>
      <w:tblPr>
        <w:tblpPr w:leftFromText="180" w:rightFromText="180" w:vertAnchor="text" w:horzAnchor="margin" w:tblpXSpec="center" w:tblpY="25"/>
        <w:tblW w:w="0" w:type="auto"/>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872"/>
        <w:gridCol w:w="872"/>
        <w:gridCol w:w="972"/>
        <w:gridCol w:w="975"/>
        <w:gridCol w:w="870"/>
        <w:gridCol w:w="1873"/>
      </w:tblGrid>
      <w:tr w:rsidR="006D6631" w:rsidRPr="00FA4A79" w:rsidTr="00FA4A79">
        <w:trPr>
          <w:trHeight w:val="275"/>
        </w:trPr>
        <w:tc>
          <w:tcPr>
            <w:tcW w:w="7434" w:type="dxa"/>
            <w:gridSpan w:val="6"/>
          </w:tcPr>
          <w:p w:rsidR="006D6631" w:rsidRPr="00FA4A79" w:rsidRDefault="006D6631" w:rsidP="00FA4A79">
            <w:pPr>
              <w:spacing w:after="0"/>
              <w:ind w:right="20"/>
              <w:jc w:val="both"/>
              <w:rPr>
                <w:rFonts w:ascii="Times New Roman" w:hAnsi="Times New Roman" w:cs="Times New Roman"/>
                <w:b/>
                <w:bCs/>
                <w:iCs/>
                <w:sz w:val="20"/>
                <w:szCs w:val="20"/>
              </w:rPr>
            </w:pPr>
            <w:r w:rsidRPr="00FA4A79">
              <w:rPr>
                <w:rFonts w:ascii="Times New Roman" w:hAnsi="Times New Roman" w:cs="Times New Roman"/>
                <w:b/>
                <w:bCs/>
                <w:iCs/>
                <w:sz w:val="20"/>
                <w:szCs w:val="20"/>
              </w:rPr>
              <w:t>Intervention</w:t>
            </w:r>
          </w:p>
        </w:tc>
      </w:tr>
      <w:tr w:rsidR="006D6631" w:rsidRPr="00FA4A79" w:rsidTr="00FA4A79">
        <w:trPr>
          <w:trHeight w:val="275"/>
        </w:trPr>
        <w:tc>
          <w:tcPr>
            <w:tcW w:w="1872" w:type="dxa"/>
          </w:tcPr>
          <w:p w:rsidR="006D6631" w:rsidRPr="00FA4A79" w:rsidRDefault="006D6631" w:rsidP="00FA4A79">
            <w:pPr>
              <w:spacing w:after="0"/>
              <w:ind w:right="20"/>
              <w:jc w:val="both"/>
              <w:rPr>
                <w:rFonts w:ascii="Times New Roman" w:hAnsi="Times New Roman" w:cs="Times New Roman"/>
                <w:b/>
                <w:bCs/>
                <w:iCs/>
                <w:sz w:val="20"/>
                <w:szCs w:val="20"/>
              </w:rPr>
            </w:pPr>
            <w:r w:rsidRPr="00FA4A79">
              <w:rPr>
                <w:rFonts w:ascii="Times New Roman" w:hAnsi="Times New Roman" w:cs="Times New Roman"/>
                <w:b/>
                <w:bCs/>
                <w:iCs/>
                <w:sz w:val="20"/>
                <w:szCs w:val="20"/>
              </w:rPr>
              <w:t>Knowledge</w:t>
            </w:r>
          </w:p>
        </w:tc>
        <w:tc>
          <w:tcPr>
            <w:tcW w:w="1844" w:type="dxa"/>
            <w:gridSpan w:val="2"/>
          </w:tcPr>
          <w:p w:rsidR="006D6631" w:rsidRPr="00FA4A79" w:rsidRDefault="006D6631" w:rsidP="00FA4A79">
            <w:pPr>
              <w:spacing w:after="0"/>
              <w:ind w:right="20"/>
              <w:jc w:val="both"/>
              <w:rPr>
                <w:rFonts w:ascii="Times New Roman" w:hAnsi="Times New Roman" w:cs="Times New Roman"/>
                <w:b/>
                <w:bCs/>
                <w:iCs/>
                <w:sz w:val="20"/>
                <w:szCs w:val="20"/>
              </w:rPr>
            </w:pPr>
            <w:r w:rsidRPr="00FA4A79">
              <w:rPr>
                <w:rFonts w:ascii="Times New Roman" w:hAnsi="Times New Roman" w:cs="Times New Roman"/>
                <w:b/>
                <w:bCs/>
                <w:iCs/>
                <w:sz w:val="20"/>
                <w:szCs w:val="20"/>
              </w:rPr>
              <w:t xml:space="preserve">Before </w:t>
            </w:r>
          </w:p>
        </w:tc>
        <w:tc>
          <w:tcPr>
            <w:tcW w:w="1845" w:type="dxa"/>
            <w:gridSpan w:val="2"/>
          </w:tcPr>
          <w:p w:rsidR="006D6631" w:rsidRPr="00FA4A79" w:rsidRDefault="006D6631" w:rsidP="00FA4A79">
            <w:pPr>
              <w:spacing w:after="0"/>
              <w:ind w:right="20"/>
              <w:jc w:val="both"/>
              <w:rPr>
                <w:rFonts w:ascii="Times New Roman" w:hAnsi="Times New Roman" w:cs="Times New Roman"/>
                <w:b/>
                <w:bCs/>
                <w:iCs/>
                <w:sz w:val="20"/>
                <w:szCs w:val="20"/>
              </w:rPr>
            </w:pPr>
            <w:r w:rsidRPr="00FA4A79">
              <w:rPr>
                <w:rFonts w:ascii="Times New Roman" w:hAnsi="Times New Roman" w:cs="Times New Roman"/>
                <w:b/>
                <w:bCs/>
                <w:iCs/>
                <w:sz w:val="20"/>
                <w:szCs w:val="20"/>
              </w:rPr>
              <w:t xml:space="preserve">After </w:t>
            </w:r>
          </w:p>
        </w:tc>
        <w:tc>
          <w:tcPr>
            <w:tcW w:w="1873" w:type="dxa"/>
          </w:tcPr>
          <w:p w:rsidR="006D6631" w:rsidRPr="00FA4A79" w:rsidRDefault="006D6631" w:rsidP="00FA4A79">
            <w:pPr>
              <w:spacing w:after="0"/>
              <w:ind w:right="20"/>
              <w:jc w:val="both"/>
              <w:rPr>
                <w:rFonts w:ascii="Times New Roman" w:hAnsi="Times New Roman" w:cs="Times New Roman"/>
                <w:b/>
                <w:bCs/>
                <w:iCs/>
                <w:sz w:val="20"/>
                <w:szCs w:val="20"/>
                <w:lang w:val="id"/>
              </w:rPr>
            </w:pPr>
            <w:r w:rsidRPr="00FA4A79">
              <w:rPr>
                <w:rFonts w:ascii="Times New Roman" w:hAnsi="Times New Roman" w:cs="Times New Roman"/>
                <w:b/>
                <w:bCs/>
                <w:iCs/>
                <w:sz w:val="20"/>
                <w:szCs w:val="20"/>
                <w:lang w:val="id"/>
              </w:rPr>
              <w:t>P Value</w:t>
            </w:r>
          </w:p>
        </w:tc>
      </w:tr>
      <w:tr w:rsidR="006D6631" w:rsidRPr="00FA4A79" w:rsidTr="00FA4A79">
        <w:trPr>
          <w:trHeight w:val="276"/>
        </w:trPr>
        <w:tc>
          <w:tcPr>
            <w:tcW w:w="1872" w:type="dxa"/>
          </w:tcPr>
          <w:p w:rsidR="006D6631" w:rsidRPr="00FA4A79" w:rsidRDefault="006D6631" w:rsidP="00FA4A79">
            <w:pPr>
              <w:spacing w:after="0"/>
              <w:ind w:right="20"/>
              <w:jc w:val="both"/>
              <w:rPr>
                <w:rFonts w:ascii="Times New Roman" w:hAnsi="Times New Roman" w:cs="Times New Roman"/>
                <w:bCs/>
                <w:iCs/>
                <w:sz w:val="20"/>
                <w:szCs w:val="20"/>
                <w:lang w:val="id"/>
              </w:rPr>
            </w:pPr>
          </w:p>
        </w:tc>
        <w:tc>
          <w:tcPr>
            <w:tcW w:w="872" w:type="dxa"/>
          </w:tcPr>
          <w:p w:rsidR="006D6631" w:rsidRPr="00FA4A79" w:rsidRDefault="006D6631" w:rsidP="00FA4A79">
            <w:pPr>
              <w:spacing w:after="0"/>
              <w:ind w:right="20"/>
              <w:jc w:val="both"/>
              <w:rPr>
                <w:rFonts w:ascii="Times New Roman" w:hAnsi="Times New Roman" w:cs="Times New Roman"/>
                <w:b/>
                <w:bCs/>
                <w:iCs/>
                <w:sz w:val="20"/>
                <w:szCs w:val="20"/>
                <w:lang w:val="id"/>
              </w:rPr>
            </w:pPr>
            <w:r w:rsidRPr="00FA4A79">
              <w:rPr>
                <w:rFonts w:ascii="Times New Roman" w:hAnsi="Times New Roman" w:cs="Times New Roman"/>
                <w:b/>
                <w:bCs/>
                <w:iCs/>
                <w:sz w:val="20"/>
                <w:szCs w:val="20"/>
                <w:lang w:val="id"/>
              </w:rPr>
              <w:t>n</w:t>
            </w:r>
          </w:p>
        </w:tc>
        <w:tc>
          <w:tcPr>
            <w:tcW w:w="972" w:type="dxa"/>
          </w:tcPr>
          <w:p w:rsidR="006D6631" w:rsidRPr="00FA4A79" w:rsidRDefault="006D6631" w:rsidP="00FA4A79">
            <w:pPr>
              <w:spacing w:after="0"/>
              <w:ind w:right="20"/>
              <w:jc w:val="both"/>
              <w:rPr>
                <w:rFonts w:ascii="Times New Roman" w:hAnsi="Times New Roman" w:cs="Times New Roman"/>
                <w:b/>
                <w:bCs/>
                <w:iCs/>
                <w:sz w:val="20"/>
                <w:szCs w:val="20"/>
                <w:lang w:val="id"/>
              </w:rPr>
            </w:pPr>
            <w:r w:rsidRPr="00FA4A79">
              <w:rPr>
                <w:rFonts w:ascii="Times New Roman" w:hAnsi="Times New Roman" w:cs="Times New Roman"/>
                <w:b/>
                <w:bCs/>
                <w:iCs/>
                <w:sz w:val="20"/>
                <w:szCs w:val="20"/>
                <w:lang w:val="id"/>
              </w:rPr>
              <w:t>%</w:t>
            </w:r>
          </w:p>
        </w:tc>
        <w:tc>
          <w:tcPr>
            <w:tcW w:w="975" w:type="dxa"/>
          </w:tcPr>
          <w:p w:rsidR="006D6631" w:rsidRPr="00FA4A79" w:rsidRDefault="006D6631" w:rsidP="00FA4A79">
            <w:pPr>
              <w:spacing w:after="0"/>
              <w:ind w:right="20"/>
              <w:jc w:val="both"/>
              <w:rPr>
                <w:rFonts w:ascii="Times New Roman" w:hAnsi="Times New Roman" w:cs="Times New Roman"/>
                <w:b/>
                <w:bCs/>
                <w:iCs/>
                <w:sz w:val="20"/>
                <w:szCs w:val="20"/>
                <w:lang w:val="id"/>
              </w:rPr>
            </w:pPr>
            <w:r w:rsidRPr="00FA4A79">
              <w:rPr>
                <w:rFonts w:ascii="Times New Roman" w:hAnsi="Times New Roman" w:cs="Times New Roman"/>
                <w:b/>
                <w:bCs/>
                <w:iCs/>
                <w:sz w:val="20"/>
                <w:szCs w:val="20"/>
                <w:lang w:val="id"/>
              </w:rPr>
              <w:t>n</w:t>
            </w:r>
          </w:p>
        </w:tc>
        <w:tc>
          <w:tcPr>
            <w:tcW w:w="870" w:type="dxa"/>
          </w:tcPr>
          <w:p w:rsidR="006D6631" w:rsidRPr="00FA4A79" w:rsidRDefault="006D6631" w:rsidP="00FA4A79">
            <w:pPr>
              <w:spacing w:after="0"/>
              <w:ind w:right="20"/>
              <w:jc w:val="both"/>
              <w:rPr>
                <w:rFonts w:ascii="Times New Roman" w:hAnsi="Times New Roman" w:cs="Times New Roman"/>
                <w:b/>
                <w:bCs/>
                <w:iCs/>
                <w:sz w:val="20"/>
                <w:szCs w:val="20"/>
                <w:lang w:val="id"/>
              </w:rPr>
            </w:pPr>
            <w:r w:rsidRPr="00FA4A79">
              <w:rPr>
                <w:rFonts w:ascii="Times New Roman" w:hAnsi="Times New Roman" w:cs="Times New Roman"/>
                <w:b/>
                <w:bCs/>
                <w:iCs/>
                <w:sz w:val="20"/>
                <w:szCs w:val="20"/>
                <w:lang w:val="id"/>
              </w:rPr>
              <w:t>%</w:t>
            </w:r>
          </w:p>
        </w:tc>
        <w:tc>
          <w:tcPr>
            <w:tcW w:w="1873" w:type="dxa"/>
            <w:vMerge w:val="restart"/>
          </w:tcPr>
          <w:p w:rsidR="006D6631" w:rsidRPr="00FA4A79" w:rsidRDefault="006D6631" w:rsidP="00FA4A79">
            <w:pPr>
              <w:spacing w:after="0"/>
              <w:ind w:right="20"/>
              <w:jc w:val="both"/>
              <w:rPr>
                <w:rFonts w:ascii="Times New Roman" w:hAnsi="Times New Roman" w:cs="Times New Roman"/>
                <w:b/>
                <w:bCs/>
                <w:iCs/>
                <w:sz w:val="20"/>
                <w:szCs w:val="20"/>
                <w:lang w:val="id"/>
              </w:rPr>
            </w:pPr>
            <w:r w:rsidRPr="00FA4A79">
              <w:rPr>
                <w:rFonts w:ascii="Times New Roman" w:hAnsi="Times New Roman" w:cs="Times New Roman"/>
                <w:b/>
                <w:bCs/>
                <w:iCs/>
                <w:sz w:val="20"/>
                <w:szCs w:val="20"/>
                <w:lang w:val="id"/>
              </w:rPr>
              <w:t>&lt;0,001</w:t>
            </w:r>
          </w:p>
        </w:tc>
      </w:tr>
      <w:tr w:rsidR="006D6631" w:rsidRPr="00FA4A79" w:rsidTr="00FA4A79">
        <w:trPr>
          <w:trHeight w:val="273"/>
        </w:trPr>
        <w:tc>
          <w:tcPr>
            <w:tcW w:w="1872" w:type="dxa"/>
          </w:tcPr>
          <w:p w:rsidR="006D6631" w:rsidRPr="00FA4A79" w:rsidRDefault="006D6631" w:rsidP="00FA4A79">
            <w:pPr>
              <w:spacing w:after="0"/>
              <w:ind w:right="20"/>
              <w:jc w:val="both"/>
              <w:rPr>
                <w:rFonts w:ascii="Times New Roman" w:hAnsi="Times New Roman" w:cs="Times New Roman"/>
                <w:b/>
                <w:bCs/>
                <w:iCs/>
                <w:sz w:val="20"/>
                <w:szCs w:val="20"/>
              </w:rPr>
            </w:pPr>
            <w:r w:rsidRPr="00FA4A79">
              <w:rPr>
                <w:rFonts w:ascii="Times New Roman" w:hAnsi="Times New Roman" w:cs="Times New Roman"/>
                <w:b/>
                <w:bCs/>
                <w:iCs/>
                <w:sz w:val="20"/>
                <w:szCs w:val="20"/>
              </w:rPr>
              <w:t xml:space="preserve">Good </w:t>
            </w:r>
          </w:p>
        </w:tc>
        <w:tc>
          <w:tcPr>
            <w:tcW w:w="872"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16</w:t>
            </w:r>
          </w:p>
        </w:tc>
        <w:tc>
          <w:tcPr>
            <w:tcW w:w="972"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22,8</w:t>
            </w:r>
          </w:p>
        </w:tc>
        <w:tc>
          <w:tcPr>
            <w:tcW w:w="975"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99</w:t>
            </w:r>
          </w:p>
        </w:tc>
        <w:tc>
          <w:tcPr>
            <w:tcW w:w="870"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90,8</w:t>
            </w:r>
          </w:p>
        </w:tc>
        <w:tc>
          <w:tcPr>
            <w:tcW w:w="1873" w:type="dxa"/>
            <w:vMerge/>
          </w:tcPr>
          <w:p w:rsidR="006D6631" w:rsidRPr="00FA4A79" w:rsidRDefault="006D6631" w:rsidP="00FA4A79">
            <w:pPr>
              <w:spacing w:after="0"/>
              <w:ind w:right="20"/>
              <w:jc w:val="both"/>
              <w:rPr>
                <w:rFonts w:ascii="Times New Roman" w:hAnsi="Times New Roman" w:cs="Times New Roman"/>
                <w:bCs/>
                <w:iCs/>
                <w:sz w:val="20"/>
                <w:szCs w:val="20"/>
                <w:lang w:val="id"/>
              </w:rPr>
            </w:pPr>
          </w:p>
        </w:tc>
      </w:tr>
      <w:tr w:rsidR="006D6631" w:rsidRPr="00FA4A79" w:rsidTr="00FA4A79">
        <w:trPr>
          <w:trHeight w:val="275"/>
        </w:trPr>
        <w:tc>
          <w:tcPr>
            <w:tcW w:w="1872" w:type="dxa"/>
          </w:tcPr>
          <w:p w:rsidR="006D6631" w:rsidRPr="00FA4A79" w:rsidRDefault="006D6631" w:rsidP="00FA4A79">
            <w:pPr>
              <w:spacing w:after="0"/>
              <w:ind w:right="20"/>
              <w:jc w:val="both"/>
              <w:rPr>
                <w:rFonts w:ascii="Times New Roman" w:hAnsi="Times New Roman" w:cs="Times New Roman"/>
                <w:b/>
                <w:bCs/>
                <w:iCs/>
                <w:sz w:val="20"/>
                <w:szCs w:val="20"/>
              </w:rPr>
            </w:pPr>
            <w:r w:rsidRPr="00FA4A79">
              <w:rPr>
                <w:rFonts w:ascii="Times New Roman" w:hAnsi="Times New Roman" w:cs="Times New Roman"/>
                <w:b/>
                <w:bCs/>
                <w:iCs/>
                <w:sz w:val="20"/>
                <w:szCs w:val="20"/>
              </w:rPr>
              <w:t xml:space="preserve">Enough </w:t>
            </w:r>
          </w:p>
        </w:tc>
        <w:tc>
          <w:tcPr>
            <w:tcW w:w="872"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49</w:t>
            </w:r>
          </w:p>
        </w:tc>
        <w:tc>
          <w:tcPr>
            <w:tcW w:w="972"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45</w:t>
            </w:r>
          </w:p>
        </w:tc>
        <w:tc>
          <w:tcPr>
            <w:tcW w:w="975"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9</w:t>
            </w:r>
          </w:p>
        </w:tc>
        <w:tc>
          <w:tcPr>
            <w:tcW w:w="870"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16,4</w:t>
            </w:r>
          </w:p>
        </w:tc>
        <w:tc>
          <w:tcPr>
            <w:tcW w:w="1873" w:type="dxa"/>
            <w:vMerge/>
          </w:tcPr>
          <w:p w:rsidR="006D6631" w:rsidRPr="00FA4A79" w:rsidRDefault="006D6631" w:rsidP="00FA4A79">
            <w:pPr>
              <w:spacing w:after="0"/>
              <w:ind w:right="20"/>
              <w:jc w:val="both"/>
              <w:rPr>
                <w:rFonts w:ascii="Times New Roman" w:hAnsi="Times New Roman" w:cs="Times New Roman"/>
                <w:bCs/>
                <w:iCs/>
                <w:sz w:val="20"/>
                <w:szCs w:val="20"/>
                <w:lang w:val="id"/>
              </w:rPr>
            </w:pPr>
          </w:p>
        </w:tc>
      </w:tr>
      <w:tr w:rsidR="006D6631" w:rsidRPr="00FA4A79" w:rsidTr="00FA4A79">
        <w:trPr>
          <w:trHeight w:val="275"/>
        </w:trPr>
        <w:tc>
          <w:tcPr>
            <w:tcW w:w="1872" w:type="dxa"/>
          </w:tcPr>
          <w:p w:rsidR="006D6631" w:rsidRPr="00FA4A79" w:rsidRDefault="006D6631" w:rsidP="00FA4A79">
            <w:pPr>
              <w:spacing w:after="0"/>
              <w:ind w:right="20"/>
              <w:jc w:val="both"/>
              <w:rPr>
                <w:rFonts w:ascii="Times New Roman" w:hAnsi="Times New Roman" w:cs="Times New Roman"/>
                <w:b/>
                <w:bCs/>
                <w:iCs/>
                <w:sz w:val="20"/>
                <w:szCs w:val="20"/>
              </w:rPr>
            </w:pPr>
            <w:r w:rsidRPr="00FA4A79">
              <w:rPr>
                <w:rFonts w:ascii="Times New Roman" w:hAnsi="Times New Roman" w:cs="Times New Roman"/>
                <w:b/>
                <w:bCs/>
                <w:iCs/>
                <w:sz w:val="20"/>
                <w:szCs w:val="20"/>
              </w:rPr>
              <w:t xml:space="preserve">Poor </w:t>
            </w:r>
          </w:p>
        </w:tc>
        <w:tc>
          <w:tcPr>
            <w:tcW w:w="872"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44</w:t>
            </w:r>
          </w:p>
        </w:tc>
        <w:tc>
          <w:tcPr>
            <w:tcW w:w="972"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48,4</w:t>
            </w:r>
          </w:p>
        </w:tc>
        <w:tc>
          <w:tcPr>
            <w:tcW w:w="975"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1</w:t>
            </w:r>
          </w:p>
        </w:tc>
        <w:tc>
          <w:tcPr>
            <w:tcW w:w="870" w:type="dxa"/>
          </w:tcPr>
          <w:p w:rsidR="006D6631" w:rsidRPr="00FA4A79" w:rsidRDefault="006D6631" w:rsidP="00FA4A79">
            <w:pPr>
              <w:spacing w:after="0"/>
              <w:ind w:right="20"/>
              <w:jc w:val="both"/>
              <w:rPr>
                <w:rFonts w:ascii="Times New Roman" w:hAnsi="Times New Roman" w:cs="Times New Roman"/>
                <w:bCs/>
                <w:iCs/>
                <w:sz w:val="20"/>
                <w:szCs w:val="20"/>
                <w:lang w:val="id"/>
              </w:rPr>
            </w:pPr>
            <w:r w:rsidRPr="00FA4A79">
              <w:rPr>
                <w:rFonts w:ascii="Times New Roman" w:hAnsi="Times New Roman" w:cs="Times New Roman"/>
                <w:bCs/>
                <w:iCs/>
                <w:sz w:val="20"/>
                <w:szCs w:val="20"/>
                <w:lang w:val="id"/>
              </w:rPr>
              <w:t>9</w:t>
            </w:r>
          </w:p>
        </w:tc>
        <w:tc>
          <w:tcPr>
            <w:tcW w:w="1873" w:type="dxa"/>
            <w:vMerge/>
          </w:tcPr>
          <w:p w:rsidR="006D6631" w:rsidRPr="00FA4A79" w:rsidRDefault="006D6631" w:rsidP="00FA4A79">
            <w:pPr>
              <w:spacing w:after="0"/>
              <w:ind w:right="20"/>
              <w:jc w:val="both"/>
              <w:rPr>
                <w:rFonts w:ascii="Times New Roman" w:hAnsi="Times New Roman" w:cs="Times New Roman"/>
                <w:bCs/>
                <w:iCs/>
                <w:sz w:val="20"/>
                <w:szCs w:val="20"/>
                <w:lang w:val="id"/>
              </w:rPr>
            </w:pPr>
          </w:p>
        </w:tc>
      </w:tr>
    </w:tbl>
    <w:p w:rsidR="006D6631" w:rsidRPr="00FA4A79" w:rsidRDefault="006D6631" w:rsidP="00FA4A79">
      <w:pPr>
        <w:spacing w:after="0"/>
        <w:ind w:right="20"/>
        <w:jc w:val="both"/>
        <w:rPr>
          <w:rFonts w:ascii="Times New Roman" w:hAnsi="Times New Roman" w:cs="Times New Roman"/>
          <w:bCs/>
        </w:rPr>
      </w:pPr>
    </w:p>
    <w:p w:rsidR="006D6631" w:rsidRPr="00FA4A79" w:rsidRDefault="006D6631" w:rsidP="00FA4A79">
      <w:pPr>
        <w:spacing w:after="0"/>
        <w:ind w:right="20"/>
        <w:jc w:val="both"/>
        <w:rPr>
          <w:rFonts w:ascii="Times New Roman" w:hAnsi="Times New Roman" w:cs="Times New Roman"/>
          <w:b/>
        </w:rPr>
      </w:pPr>
    </w:p>
    <w:p w:rsidR="006D6631" w:rsidRDefault="006D6631" w:rsidP="00FA4A79">
      <w:pPr>
        <w:spacing w:after="0"/>
        <w:ind w:right="20" w:firstLine="567"/>
        <w:jc w:val="both"/>
        <w:rPr>
          <w:rFonts w:ascii="Times New Roman" w:hAnsi="Times New Roman" w:cs="Times New Roman"/>
          <w:bCs/>
        </w:rPr>
      </w:pPr>
      <w:r w:rsidRPr="00FA4A79">
        <w:rPr>
          <w:rFonts w:ascii="Times New Roman" w:hAnsi="Times New Roman" w:cs="Times New Roman"/>
          <w:bCs/>
        </w:rPr>
        <w:t>Based on the Wilcoxon test results with a sig. (2-tailed) value of &lt;0.001, which is less than &lt;0,05, it can be concluded that H0 is rejected and Ha is accepted, meaning there is an influence of animated video provision on adolescents' knowledge level about HIV/AIDS.</w:t>
      </w:r>
    </w:p>
    <w:p w:rsidR="00FA4A79" w:rsidRDefault="00FA4A79" w:rsidP="00FA4A79">
      <w:pPr>
        <w:spacing w:after="0"/>
        <w:ind w:right="20"/>
        <w:jc w:val="both"/>
        <w:rPr>
          <w:rFonts w:ascii="Times New Roman" w:hAnsi="Times New Roman" w:cs="Times New Roman"/>
          <w:bCs/>
        </w:rPr>
      </w:pPr>
    </w:p>
    <w:p w:rsidR="00FA4A79" w:rsidRPr="00FA4A79" w:rsidRDefault="00FA4A79" w:rsidP="00FA4A79">
      <w:pPr>
        <w:spacing w:after="0"/>
        <w:ind w:right="20"/>
        <w:jc w:val="both"/>
        <w:rPr>
          <w:rFonts w:ascii="Times New Roman" w:hAnsi="Times New Roman" w:cs="Times New Roman"/>
          <w:bCs/>
        </w:rPr>
      </w:pPr>
    </w:p>
    <w:p w:rsidR="00AA6B0C" w:rsidRPr="00FA4A79" w:rsidRDefault="00AA6B0C" w:rsidP="00FA4A79">
      <w:pPr>
        <w:spacing w:after="0"/>
        <w:ind w:right="20"/>
        <w:rPr>
          <w:rFonts w:ascii="Times New Roman" w:hAnsi="Times New Roman" w:cs="Times New Roman"/>
          <w:b/>
        </w:rPr>
      </w:pPr>
      <w:r w:rsidRPr="00FA4A79">
        <w:rPr>
          <w:rFonts w:ascii="Times New Roman" w:hAnsi="Times New Roman" w:cs="Times New Roman"/>
          <w:b/>
        </w:rPr>
        <w:t>Discussion</w:t>
      </w:r>
    </w:p>
    <w:p w:rsidR="00AA6B0C" w:rsidRPr="00FA4A79" w:rsidRDefault="00AA6B0C" w:rsidP="00FA4A79">
      <w:pPr>
        <w:spacing w:after="0"/>
        <w:ind w:right="20"/>
        <w:rPr>
          <w:rFonts w:ascii="Times New Roman" w:hAnsi="Times New Roman" w:cs="Times New Roman"/>
          <w:b/>
        </w:rPr>
      </w:pPr>
      <w:r w:rsidRPr="00FA4A79">
        <w:rPr>
          <w:rFonts w:ascii="Times New Roman" w:hAnsi="Times New Roman" w:cs="Times New Roman"/>
          <w:b/>
        </w:rPr>
        <w:t>Knowledge Before Being Given Animated Videos About HIV/AIDS</w:t>
      </w:r>
    </w:p>
    <w:p w:rsidR="00AA6B0C" w:rsidRPr="00FA4A79" w:rsidRDefault="00AA6B0C" w:rsidP="00FA4A79">
      <w:pPr>
        <w:spacing w:after="0"/>
        <w:ind w:right="20" w:firstLine="567"/>
        <w:jc w:val="both"/>
        <w:rPr>
          <w:rFonts w:ascii="Times New Roman" w:hAnsi="Times New Roman" w:cs="Times New Roman"/>
          <w:bCs/>
        </w:rPr>
      </w:pPr>
      <w:r w:rsidRPr="00FA4A79">
        <w:rPr>
          <w:rFonts w:ascii="Times New Roman" w:hAnsi="Times New Roman" w:cs="Times New Roman"/>
          <w:bCs/>
        </w:rPr>
        <w:t xml:space="preserve">Based on table 4.1, the knowledge of adolescents before being given videos showed that more had sufficient knowledge, with 49 respondents (45%), compared to good knowledge, with 16 respondents (22.8%). In this study, the level of adolescent knowledge about HIV/AIDS was measured based on indicators of HIV/AIDS understanding, signs and symptoms of HIV/AIDS, modes of HIV/AIDS transmission, and prevention of HIV/AIDS, divided into 15 questions. The category of sufficient knowledge before intervention is likely due to several factors. One of them is limited information exposure, whether from the school environment, family, or mass media. Although the topic of HIV/AIDS has been introduced in educational curricula or through health campaigns, its delivery tends to be general and has not touched important aspects in detail, such as modes of transmission, prevention, and stigma against PLHIV (People Living with HIV/AIDS). </w:t>
      </w:r>
    </w:p>
    <w:p w:rsidR="00AA6B0C" w:rsidRPr="00FA4A79" w:rsidRDefault="00AA6B0C" w:rsidP="00FA4A79">
      <w:pPr>
        <w:spacing w:after="0"/>
        <w:ind w:right="20" w:firstLine="567"/>
        <w:jc w:val="both"/>
        <w:rPr>
          <w:rFonts w:ascii="Times New Roman" w:hAnsi="Times New Roman" w:cs="Times New Roman"/>
          <w:bCs/>
        </w:rPr>
      </w:pPr>
      <w:r w:rsidRPr="00FA4A79">
        <w:rPr>
          <w:rFonts w:ascii="Times New Roman" w:hAnsi="Times New Roman" w:cs="Times New Roman"/>
          <w:bCs/>
        </w:rPr>
        <w:t xml:space="preserve">In addition, the lack of adolescent interest in health issues, especially HIV/AIDS, can also affect their level of understanding. Adolescents are more exposed to entertainment content than educational content, so their knowledge is formed only from superficial or inaccurate information. The lack of interactive and contextual learning methods in schools is also one of the reasons why their knowledge has not reached the good category. From the questionnaires filled out by respondents, many still answered incorrectly on sub-question no. 6, which is about how HIV/AIDS is transmitted. Sub-question no. 12 discusses body fluids that do not transmit HIV/AIDS. HIV is a vulnerable virus that can only be transmitted through unprotected sexual intercourse (vaginal or anal), oral sex with an infected individual, contaminated blood transfusions, and sharing needles, syringes, or other </w:t>
      </w:r>
      <w:r w:rsidRPr="00FA4A79">
        <w:rPr>
          <w:rFonts w:ascii="Times New Roman" w:hAnsi="Times New Roman" w:cs="Times New Roman"/>
          <w:bCs/>
        </w:rPr>
        <w:lastRenderedPageBreak/>
        <w:t>contaminated sharp objects. Transmission can also occur from mother to baby during pregnancy, childbirth, or through breastfeeding (Muh. Yusuf Tahir &amp; dkk, 2016 in Ranti, 2024). This virus cannot spread through hugs, kisses without saliva, handshakes, shared toilet use, tears, urine, saliva, sweat, feces, or water droplets (Muh. Yusuf Tahir &amp; dkk, 2016 in Ranti, 2024).</w:t>
      </w:r>
    </w:p>
    <w:p w:rsidR="00AA6B0C" w:rsidRPr="00FA4A79" w:rsidRDefault="00AA6B0C" w:rsidP="00FA4A79">
      <w:pPr>
        <w:spacing w:after="0"/>
        <w:ind w:right="20" w:firstLine="567"/>
        <w:jc w:val="both"/>
        <w:rPr>
          <w:rFonts w:ascii="Times New Roman" w:hAnsi="Times New Roman" w:cs="Times New Roman"/>
          <w:bCs/>
        </w:rPr>
      </w:pPr>
      <w:r w:rsidRPr="00FA4A79">
        <w:rPr>
          <w:rFonts w:ascii="Times New Roman" w:hAnsi="Times New Roman" w:cs="Times New Roman"/>
          <w:bCs/>
        </w:rPr>
        <w:t>This study is in line with the research by Reni, Rahmawati, and Windanesti (2023) which showed that before being given health education based on animated video media about HIV/AIDS at SMAN 3 Kota Tasikmalaya, 134 respondents (49%) had sufficient knowledge and 117 respondents (42.9%) had good knowledge. This study is also in line with research conducted by Janna &amp; Handayani (2023) which found that before being given health education with audiovisual media about HIV/AIDS, 50 respondents (67.57%) had sufficient knowledge and 15 respondents (20.27%) had good knowledge. Other research results, namely the study by Iskandar, dkk (2022), showed that before health education intervention on HIV/AIDS using animated videos, most respondents' knowledge was in the sufficient category, with 25 respondents (61%), and in the good category, with 16 respondents (39%). Based on the research results, the researcher believes that the level of knowledge of adolescents at SMK Istiqomah Muhammadiyah 4 Samarinda regarding HIV/AIDS before being given intervention in the form of animated video media is generally in the sufficient category. This indicates that although most respondents already have a basic understanding of HIV/AIDS, this knowledge is not yet fully in-depth or comprehensive. This condition indicates the need for strengthening information and more interactive and engaging education, such as the use of audiovisual media, to improve optimal understanding among adolescents.Knowledge After Being Given Animated Videos About HIV/AIDS</w:t>
      </w:r>
      <w:r w:rsidR="00FA4A79">
        <w:rPr>
          <w:rFonts w:ascii="Times New Roman" w:hAnsi="Times New Roman" w:cs="Times New Roman"/>
          <w:bCs/>
        </w:rPr>
        <w:t>.</w:t>
      </w:r>
    </w:p>
    <w:p w:rsidR="00AA6B0C" w:rsidRPr="00FA4A79" w:rsidRDefault="00AA6B0C" w:rsidP="00FA4A79">
      <w:pPr>
        <w:spacing w:after="0"/>
        <w:ind w:right="20" w:firstLine="567"/>
        <w:jc w:val="both"/>
        <w:rPr>
          <w:rFonts w:ascii="Times New Roman" w:hAnsi="Times New Roman" w:cs="Times New Roman"/>
          <w:bCs/>
        </w:rPr>
      </w:pPr>
      <w:r w:rsidRPr="00FA4A79">
        <w:rPr>
          <w:rFonts w:ascii="Times New Roman" w:hAnsi="Times New Roman" w:cs="Times New Roman"/>
          <w:bCs/>
        </w:rPr>
        <w:t>Based on the research results in table 4.2, these findings indicate that the knowledge of respondents after receiving health education using animated video media about HIV/AIDS improved, with 99 respondents (90.8%) having good knowledge. Health education through animated video media had an impact on increasing respondents' knowledge. This is evident from the difference in knowledge scores between the pretest and posttest results. Every respondent experienced an increase in knowledge scores, although the magnitude of this increase varied among individuals. And there was 1 respondent who still had poor knowledge after being given this animated video, which was due to differences in comprehension and ability to understand information among individuals. According to Mubarak (2020), there are several factors that influence knowledge, namely internal factors consisting of education, occupation, and age. Education is a learning process aimed at increasing and expanding a person's knowledge. Generally, a person's level of education is directly proportional to their ability to receive and understand information. The higher the level of education, the better the understanding and knowledge possessed. Occupation is an activity performed by a person to improve the economic well-being of their family. The factor of occupation also influences a person's knowledge, where individuals who are actively working tend to have better knowledge compared to those who are not working or only staying at home. A person's age also plays a role in their ability to absorb information. The older a person is, the better their ability to understand and process received knowledge. External factors can also influence a person's knowledge (Mubarak 2020), namely culture and environment. Culture or beliefs that develop in society can influence how a person receives and responds to information. Adopted cultural values often shape a person's attitude and perception towards knowledge. Environment includes all conditions around an individual that can influence the formation of behavior and knowledge. A supportive environment, such as access to good information sources, can increase a person's knowledge.</w:t>
      </w:r>
    </w:p>
    <w:p w:rsidR="00AA6B0C" w:rsidRPr="00FA4A79" w:rsidRDefault="00AA6B0C" w:rsidP="00FA4A79">
      <w:pPr>
        <w:spacing w:after="0"/>
        <w:ind w:right="20" w:firstLine="567"/>
        <w:jc w:val="both"/>
        <w:rPr>
          <w:rFonts w:ascii="Times New Roman" w:hAnsi="Times New Roman" w:cs="Times New Roman"/>
          <w:bCs/>
        </w:rPr>
      </w:pPr>
      <w:r w:rsidRPr="00FA4A79">
        <w:rPr>
          <w:rFonts w:ascii="Times New Roman" w:hAnsi="Times New Roman" w:cs="Times New Roman"/>
          <w:bCs/>
        </w:rPr>
        <w:t xml:space="preserve">This research is in line with the research by Reni, Rahmawati, and Windanesti (2023) which showed that after health education based on animated video media about HIV/AIDS was given at SMAN 3, Tasikmalaya City, the respondents' knowledge increased to good, with 189 respondents (69.2%). This research is also in line with the research conducted by Janna &amp; Handayani (2023) </w:t>
      </w:r>
      <w:r w:rsidRPr="00FA4A79">
        <w:rPr>
          <w:rFonts w:ascii="Times New Roman" w:hAnsi="Times New Roman" w:cs="Times New Roman"/>
          <w:bCs/>
        </w:rPr>
        <w:lastRenderedPageBreak/>
        <w:t>which found that after health education with audiovisual media about HIV/AIDS was given, more respondents had good knowledge, totaling 64 respondents (86.49%). Other research results include the study by Iskandar, et al (2022) which showed that after health counseling intervention about HIV/AIDS using animated videos, most of the respondents' knowledge increased to the good category, with 19 respondents (46.3%).</w:t>
      </w:r>
    </w:p>
    <w:p w:rsidR="00AA6B0C" w:rsidRPr="00FA4A79" w:rsidRDefault="00AA6B0C" w:rsidP="00FA4A79">
      <w:pPr>
        <w:spacing w:after="0"/>
        <w:ind w:right="20" w:firstLine="567"/>
        <w:jc w:val="both"/>
        <w:rPr>
          <w:rFonts w:ascii="Times New Roman" w:hAnsi="Times New Roman" w:cs="Times New Roman"/>
          <w:bCs/>
        </w:rPr>
      </w:pPr>
      <w:r w:rsidRPr="00FA4A79">
        <w:rPr>
          <w:rFonts w:ascii="Times New Roman" w:hAnsi="Times New Roman" w:cs="Times New Roman"/>
          <w:bCs/>
        </w:rPr>
        <w:t>The researchers believe that although some respondents still had a low level of knowledge after the intervention, this is normal in the learning process. Each individual has different abilities in receiving, processing, and understanding information conveyed, including through audiovisual media. In addition, factors such as concentration while watching, interest in the material, and initial background knowledge also influence the final results. Nevertheless, there was generally a significant increase in knowledge, which indicates that animated video media remains effective in increasing adolescents' understanding of HIV/AIDS.Researchers argue that the use of animated video media in health education can be an effective intervention to increase adolescent knowledge about HIV/AIDS. This opinion is reinforced by the results of research conducted by researchers at SMK Istiqomah Muhammadiyah 4 Samarinda, which shows that animated video media has proven capable of increasing adolescent understanding related to HIV/AIDS.</w:t>
      </w:r>
    </w:p>
    <w:p w:rsidR="00AA6B0C" w:rsidRPr="00FA4A79" w:rsidRDefault="00AA6B0C" w:rsidP="00FA4A79">
      <w:pPr>
        <w:spacing w:after="0"/>
        <w:ind w:right="20"/>
        <w:rPr>
          <w:rFonts w:ascii="Times New Roman" w:hAnsi="Times New Roman" w:cs="Times New Roman"/>
          <w:bCs/>
        </w:rPr>
      </w:pPr>
    </w:p>
    <w:p w:rsidR="00AA6B0C" w:rsidRPr="00FA4A79" w:rsidRDefault="00AA6B0C" w:rsidP="00FA4A79">
      <w:pPr>
        <w:spacing w:after="0"/>
        <w:ind w:right="20"/>
        <w:rPr>
          <w:rFonts w:ascii="Times New Roman" w:hAnsi="Times New Roman" w:cs="Times New Roman"/>
          <w:b/>
        </w:rPr>
      </w:pPr>
      <w:r w:rsidRPr="00FA4A79">
        <w:rPr>
          <w:rFonts w:ascii="Times New Roman" w:hAnsi="Times New Roman" w:cs="Times New Roman"/>
          <w:b/>
        </w:rPr>
        <w:t>The Effect of Animated Video Media on Adolescent Knowledge Levels About HIV/AIDS</w:t>
      </w:r>
    </w:p>
    <w:p w:rsidR="00AA6B0C" w:rsidRPr="00FA4A79" w:rsidRDefault="00AA6B0C" w:rsidP="00FA4A79">
      <w:pPr>
        <w:spacing w:after="0"/>
        <w:ind w:right="20" w:firstLine="720"/>
        <w:jc w:val="both"/>
        <w:rPr>
          <w:rFonts w:ascii="Times New Roman" w:hAnsi="Times New Roman" w:cs="Times New Roman"/>
          <w:bCs/>
        </w:rPr>
      </w:pPr>
      <w:r w:rsidRPr="00FA4A79">
        <w:rPr>
          <w:rFonts w:ascii="Times New Roman" w:hAnsi="Times New Roman" w:cs="Times New Roman"/>
          <w:bCs/>
        </w:rPr>
        <w:t>Based on Table 4.3 of the research results, it was found that animated videos can increase knowledge about HIV/AIDS, as seen from the results of the Wilcoxon statistical test with a p-value for knowledge of &lt;0.001. From these results, it can be concluded that there is a significant increase in knowledge, meaning that using animated video media can increase adolescent knowledge about HIV/AIDS at SMK Istiqomah Muhammadiyah 4 Samarinda. Educational video media can display interesting images and have meaning for every piece of information given and conveyed with audio from researchers related to the material provided by the researchers, so that the delivery with this educational video media is well and effectively conveyed (Nurwahidah et al., 2021). Videos can make it easier for adolescents to understand material that is difficult for teachers to explain. Learning that utilizes video is proven to be more effective than methods that do not use video. This effectiveness is seen from the improvement in student learning outcomes when using video media (Anjelyani, 2022). Animation is a series of images that create the illusion of movement. According to Mayer and Morene in Siti Aminah (2020), the role of animation in learning is to attract attention and increase motivation: This type of animation usually consists of moving text or images, often funny or strange, which can attract students' attention. This animation is generally not directly related to the material to be taught. Videos can make it easier for adolescents to understand material that is difficult for teachers to explain.</w:t>
      </w:r>
    </w:p>
    <w:p w:rsidR="00AA6B0C" w:rsidRPr="00FA4A79" w:rsidRDefault="00AA6B0C" w:rsidP="00FA4A79">
      <w:pPr>
        <w:spacing w:after="0"/>
        <w:ind w:right="20" w:firstLine="567"/>
        <w:jc w:val="both"/>
        <w:rPr>
          <w:rFonts w:ascii="Times New Roman" w:hAnsi="Times New Roman" w:cs="Times New Roman"/>
          <w:bCs/>
        </w:rPr>
      </w:pPr>
      <w:r w:rsidRPr="00FA4A79">
        <w:rPr>
          <w:rFonts w:ascii="Times New Roman" w:hAnsi="Times New Roman" w:cs="Times New Roman"/>
          <w:bCs/>
        </w:rPr>
        <w:t xml:space="preserve">Learning that utilizes video is proven to be more effective than methods that do not use video. This effectiveness is seen from the improvement in student learning outcomes when using video media (Anjelyani, 2022). Information conveyed visually can increase understanding by up to 30%, and when combined with auditory stimulation, information absorption can increase by up to 50% (Yulyana et al., 2023). This research is in line with research conducted by Dewanty, Sri and Ganif (2022) on "The Effect of Education Using Animated Videos About HIV/AIDS on Adolescent Knowledge and Attitudes in Sananwetan District". The research results showed an effect before and after the intervention with animated video media (p=&lt;0.001). Other research results include research by Dewie et al. (2022) which states that audiovisual media plays a role in increasing adolescent knowledge about HIV/AIDS. Based on the Wilcoxon test results, there was a significant difference in adolescent knowledge before and after counseling using audiovisual media (p-value &lt; 0.001). Other research results include research by Dewie et al. (2022) which states that audiovisual media plays a role in increasing adolescent knowledge about HIV/AIDS. Based on the Wilcoxon test results, there </w:t>
      </w:r>
      <w:r w:rsidRPr="00FA4A79">
        <w:rPr>
          <w:rFonts w:ascii="Times New Roman" w:hAnsi="Times New Roman" w:cs="Times New Roman"/>
          <w:bCs/>
        </w:rPr>
        <w:lastRenderedPageBreak/>
        <w:t>was a significant difference in adolescent knowledge before and after counseling using audiovisual media (p-value &lt; 0.001).</w:t>
      </w:r>
    </w:p>
    <w:p w:rsidR="006D6631" w:rsidRDefault="00AA6B0C" w:rsidP="00FA4A79">
      <w:pPr>
        <w:spacing w:after="0"/>
        <w:ind w:right="20" w:firstLine="567"/>
        <w:jc w:val="both"/>
        <w:rPr>
          <w:rFonts w:ascii="Times New Roman" w:hAnsi="Times New Roman" w:cs="Times New Roman"/>
          <w:bCs/>
        </w:rPr>
      </w:pPr>
      <w:r w:rsidRPr="00FA4A79">
        <w:rPr>
          <w:rFonts w:ascii="Times New Roman" w:hAnsi="Times New Roman" w:cs="Times New Roman"/>
          <w:bCs/>
        </w:rPr>
        <w:t>Researchers believe that animated video media has a positive effect on increasing adolescent knowledge levels about HIV/AIDS. This is seen from the increase in the number of respondents who fall into the good knowledge category after the intervention. Audiovisual media such as animated videos are able to present information in a more interesting, visual, and easy-to-understand way.thus more effective in attracting the attention of adolescents and helping them understand material that might previously have been considered difficult or less interesting if only presented conventionally. Thus, the use of animated video media can be an effective alternative health education strategy among students. Researchers chose audiovisual media as educational videos because they are more attractive and easy to disseminate. With this audiovisual media, in providing education that involves the senses of hearing and sight at the same time, the information conveyed will be well received by respondents. The advantage of the audiovisual media created by the researchers lies in the concise presentation of material, communicative language, and visual illustrations relevant to adolescent life, all of which increase adolescents' attention and retention of the material presented. Therefore, adolescents who received intervention using audiovisual media about HIV/AIDS experienced an increase in knowledge about HIV/AIDS at SMK Istiqomah Muhammadiyah 4 Samarinda.</w:t>
      </w:r>
    </w:p>
    <w:p w:rsidR="00FA4A79" w:rsidRPr="00FA4A79" w:rsidRDefault="00FA4A79" w:rsidP="00FA4A79">
      <w:pPr>
        <w:spacing w:after="0"/>
        <w:ind w:right="20" w:firstLine="567"/>
        <w:jc w:val="both"/>
        <w:rPr>
          <w:rFonts w:ascii="Times New Roman" w:hAnsi="Times New Roman" w:cs="Times New Roman"/>
          <w:bCs/>
        </w:rPr>
      </w:pPr>
    </w:p>
    <w:p w:rsidR="00AD2C48" w:rsidRPr="00FA4A79" w:rsidRDefault="00FA4A79" w:rsidP="00FA4A79">
      <w:pPr>
        <w:spacing w:after="0"/>
        <w:ind w:right="20"/>
        <w:jc w:val="both"/>
        <w:rPr>
          <w:rFonts w:ascii="Times New Roman" w:hAnsi="Times New Roman" w:cs="Times New Roman"/>
          <w:b/>
          <w:lang w:val="en-US"/>
        </w:rPr>
      </w:pPr>
      <w:r w:rsidRPr="00FA4A79">
        <w:rPr>
          <w:rFonts w:ascii="Times New Roman" w:hAnsi="Times New Roman" w:cs="Times New Roman"/>
          <w:b/>
        </w:rPr>
        <w:t>Conclusion</w:t>
      </w:r>
    </w:p>
    <w:p w:rsidR="00AA6B0C" w:rsidRPr="00FA4A79" w:rsidRDefault="00AA6B0C" w:rsidP="00FA4A79">
      <w:pPr>
        <w:spacing w:after="0"/>
        <w:ind w:right="20" w:firstLine="567"/>
        <w:jc w:val="both"/>
        <w:rPr>
          <w:rFonts w:ascii="Times New Roman" w:hAnsi="Times New Roman" w:cs="Times New Roman"/>
        </w:rPr>
      </w:pPr>
      <w:r w:rsidRPr="00FA4A79">
        <w:rPr>
          <w:rFonts w:ascii="Times New Roman" w:hAnsi="Times New Roman" w:cs="Times New Roman"/>
          <w:lang w:val="en-US"/>
        </w:rPr>
        <w:t>Based on the research conducted on Health Education with Audiovisual Media on the Knowledge Level of Adolescents about HIV/AIDS at SMK Istiqomah Muhammadiyah 4 Samarinda, the following results were obtained</w:t>
      </w:r>
      <w:r w:rsidRPr="00FA4A79">
        <w:rPr>
          <w:rFonts w:ascii="Times New Roman" w:hAnsi="Times New Roman" w:cs="Times New Roman"/>
        </w:rPr>
        <w:t>:</w:t>
      </w:r>
    </w:p>
    <w:p w:rsidR="00AA6B0C" w:rsidRPr="00FA4A79" w:rsidRDefault="00AA6B0C" w:rsidP="00FA4A79">
      <w:pPr>
        <w:pStyle w:val="22aIsiParagraf"/>
        <w:numPr>
          <w:ilvl w:val="0"/>
          <w:numId w:val="13"/>
        </w:numPr>
        <w:spacing w:after="0"/>
        <w:ind w:right="20"/>
        <w:rPr>
          <w:rFonts w:ascii="Times New Roman" w:hAnsi="Times New Roman" w:cs="Times New Roman"/>
          <w:sz w:val="22"/>
        </w:rPr>
      </w:pPr>
      <w:r w:rsidRPr="00FA4A79">
        <w:rPr>
          <w:rFonts w:ascii="Times New Roman" w:hAnsi="Times New Roman" w:cs="Times New Roman"/>
          <w:sz w:val="22"/>
          <w:lang w:val="en-US"/>
        </w:rPr>
        <w:t>The knowledge level of adolescents before being given animated videos about HIV/AIDS showed 49 respondents (45%) with sufficient knowledge.</w:t>
      </w:r>
    </w:p>
    <w:p w:rsidR="00AA6B0C" w:rsidRPr="00FA4A79" w:rsidRDefault="00AA6B0C" w:rsidP="00FA4A79">
      <w:pPr>
        <w:pStyle w:val="22aIsiParagraf"/>
        <w:numPr>
          <w:ilvl w:val="0"/>
          <w:numId w:val="13"/>
        </w:numPr>
        <w:spacing w:after="0"/>
        <w:ind w:right="20"/>
        <w:rPr>
          <w:rFonts w:ascii="Times New Roman" w:hAnsi="Times New Roman" w:cs="Times New Roman"/>
          <w:sz w:val="22"/>
        </w:rPr>
      </w:pPr>
      <w:r w:rsidRPr="00FA4A79">
        <w:rPr>
          <w:rFonts w:ascii="Times New Roman" w:hAnsi="Times New Roman" w:cs="Times New Roman"/>
          <w:sz w:val="22"/>
          <w:lang w:val="en-US"/>
        </w:rPr>
        <w:t>The knowledge level of adolescents after being given animated videos about HIV/AIDS showed 99 respondents (90.8%) with good knowledge.</w:t>
      </w:r>
    </w:p>
    <w:p w:rsidR="00AA6B0C" w:rsidRPr="00FA4A79" w:rsidRDefault="00AA6B0C" w:rsidP="00FA4A79">
      <w:pPr>
        <w:pStyle w:val="22aIsiParagraf"/>
        <w:numPr>
          <w:ilvl w:val="0"/>
          <w:numId w:val="13"/>
        </w:numPr>
        <w:spacing w:after="0"/>
        <w:ind w:right="20"/>
        <w:rPr>
          <w:rFonts w:ascii="Times New Roman" w:hAnsi="Times New Roman" w:cs="Times New Roman"/>
          <w:sz w:val="22"/>
        </w:rPr>
      </w:pPr>
      <w:r w:rsidRPr="00FA4A79">
        <w:rPr>
          <w:rFonts w:ascii="Times New Roman" w:hAnsi="Times New Roman" w:cs="Times New Roman"/>
          <w:sz w:val="22"/>
          <w:lang w:val="en-US"/>
        </w:rPr>
        <w:t>There was an influence of increased respondent knowledge after health education with animated video media on the knowledge level of adolescents about HIV/AIDS at SMK Istiqomah Muhammadiyah 4 Samarinda using the Wilcoxon statistical test with a p-value for knowledge of &lt;0.001.</w:t>
      </w:r>
    </w:p>
    <w:p w:rsidR="000F51C4" w:rsidRDefault="000F51C4"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Default="00FA4A79" w:rsidP="00FA4A79">
      <w:pPr>
        <w:pStyle w:val="22aIsiParagraf"/>
        <w:spacing w:after="0"/>
        <w:ind w:right="20"/>
        <w:rPr>
          <w:rFonts w:ascii="Times New Roman" w:hAnsi="Times New Roman" w:cs="Times New Roman"/>
          <w:sz w:val="22"/>
          <w:lang w:val="en-US"/>
        </w:rPr>
      </w:pPr>
    </w:p>
    <w:p w:rsidR="00FA4A79" w:rsidRPr="00FA4A79" w:rsidRDefault="00FA4A79" w:rsidP="00FA4A79">
      <w:pPr>
        <w:pStyle w:val="22aIsiParagraf"/>
        <w:spacing w:after="0"/>
        <w:ind w:right="20"/>
        <w:rPr>
          <w:rFonts w:ascii="Times New Roman" w:hAnsi="Times New Roman" w:cs="Times New Roman"/>
          <w:sz w:val="22"/>
          <w:lang w:val="en-US"/>
        </w:rPr>
      </w:pPr>
    </w:p>
    <w:p w:rsidR="00AD2C48" w:rsidRPr="00FA4A79" w:rsidRDefault="00AD2C48" w:rsidP="00FA4A79">
      <w:pPr>
        <w:spacing w:after="0"/>
        <w:ind w:right="20"/>
        <w:jc w:val="both"/>
        <w:rPr>
          <w:rFonts w:ascii="Times New Roman" w:hAnsi="Times New Roman" w:cs="Times New Roman"/>
          <w:b/>
        </w:rPr>
      </w:pPr>
      <w:r w:rsidRPr="00FA4A79">
        <w:rPr>
          <w:rFonts w:ascii="Times New Roman" w:hAnsi="Times New Roman" w:cs="Times New Roman"/>
          <w:b/>
        </w:rPr>
        <w:lastRenderedPageBreak/>
        <w:t>Referen</w:t>
      </w:r>
      <w:r w:rsidR="00FA4A79">
        <w:rPr>
          <w:rFonts w:ascii="Times New Roman" w:hAnsi="Times New Roman" w:cs="Times New Roman"/>
          <w:b/>
        </w:rPr>
        <w:t>ces</w:t>
      </w:r>
    </w:p>
    <w:p w:rsidR="00AA6B0C" w:rsidRPr="00FA4A79" w:rsidRDefault="00AA6B0C" w:rsidP="00FA4A79">
      <w:pPr>
        <w:widowControl w:val="0"/>
        <w:numPr>
          <w:ilvl w:val="0"/>
          <w:numId w:val="12"/>
        </w:numPr>
        <w:autoSpaceDE w:val="0"/>
        <w:autoSpaceDN w:val="0"/>
        <w:spacing w:after="0"/>
        <w:ind w:left="567" w:right="20" w:hanging="544"/>
        <w:jc w:val="both"/>
        <w:rPr>
          <w:rFonts w:ascii="Times New Roman" w:eastAsia="Times New Roman" w:hAnsi="Times New Roman" w:cs="Times New Roman"/>
          <w:lang w:val="en-US" w:eastAsia="en-US"/>
        </w:rPr>
      </w:pPr>
      <w:r w:rsidRPr="00FA4A79">
        <w:rPr>
          <w:rFonts w:ascii="Times New Roman" w:eastAsia="Times New Roman" w:hAnsi="Times New Roman" w:cs="Times New Roman"/>
          <w:lang w:val="en-US" w:eastAsia="en-US"/>
        </w:rPr>
        <w:t>Anggraini, D. T. (2022). Pengaruh Pendidikan Kesehatan dengan Metode Audiovisual terhadap Tingkat Pengetahuan dan Sikap Remaja tentang HIV/AIDS di SMP Negeri 1 Bojongsari. Jurnal Inovasi Penelitian (JIP), 3(7), 7083–7090.</w:t>
      </w:r>
    </w:p>
    <w:p w:rsidR="00AA6B0C" w:rsidRPr="00FA4A79" w:rsidRDefault="00AA6B0C" w:rsidP="00FA4A79">
      <w:pPr>
        <w:widowControl w:val="0"/>
        <w:numPr>
          <w:ilvl w:val="0"/>
          <w:numId w:val="12"/>
        </w:numPr>
        <w:autoSpaceDE w:val="0"/>
        <w:autoSpaceDN w:val="0"/>
        <w:spacing w:after="0"/>
        <w:ind w:left="567" w:right="20" w:hanging="544"/>
        <w:jc w:val="both"/>
        <w:rPr>
          <w:rFonts w:ascii="Times New Roman" w:eastAsia="Times New Roman" w:hAnsi="Times New Roman" w:cs="Times New Roman"/>
          <w:lang w:val="en-US" w:eastAsia="en-US"/>
        </w:rPr>
      </w:pPr>
      <w:r w:rsidRPr="00FA4A79">
        <w:rPr>
          <w:rFonts w:ascii="Times New Roman" w:eastAsia="Times New Roman" w:hAnsi="Times New Roman" w:cs="Times New Roman"/>
          <w:lang w:val="en-US" w:eastAsia="en-US"/>
        </w:rPr>
        <w:t>Astuti.2018. "Buku Ajar Psikologi Perkembangan Anak Dan Remaja. In Universitas Muria kudus</w:t>
      </w:r>
      <w:proofErr w:type="gramStart"/>
      <w:r w:rsidRPr="00FA4A79">
        <w:rPr>
          <w:rFonts w:ascii="Times New Roman" w:eastAsia="Times New Roman" w:hAnsi="Times New Roman" w:cs="Times New Roman"/>
          <w:lang w:val="en-US" w:eastAsia="en-US"/>
        </w:rPr>
        <w:t>".(</w:t>
      </w:r>
      <w:proofErr w:type="gramEnd"/>
      <w:r w:rsidRPr="00FA4A79">
        <w:rPr>
          <w:rFonts w:ascii="Times New Roman" w:eastAsia="Times New Roman" w:hAnsi="Times New Roman" w:cs="Times New Roman"/>
          <w:lang w:val="en-US" w:eastAsia="en-US"/>
        </w:rPr>
        <w:t>January 2019)</w:t>
      </w:r>
    </w:p>
    <w:p w:rsidR="00AA6B0C" w:rsidRPr="00FA4A79" w:rsidRDefault="00AA6B0C" w:rsidP="00FA4A79">
      <w:pPr>
        <w:widowControl w:val="0"/>
        <w:numPr>
          <w:ilvl w:val="0"/>
          <w:numId w:val="12"/>
        </w:numPr>
        <w:autoSpaceDE w:val="0"/>
        <w:autoSpaceDN w:val="0"/>
        <w:spacing w:after="0"/>
        <w:ind w:left="567" w:right="20" w:hanging="544"/>
        <w:jc w:val="both"/>
        <w:rPr>
          <w:rFonts w:ascii="Times New Roman" w:eastAsia="Times New Roman" w:hAnsi="Times New Roman" w:cs="Times New Roman"/>
          <w:lang w:val="en-US" w:eastAsia="en-US"/>
        </w:rPr>
      </w:pPr>
      <w:r w:rsidRPr="00FA4A79">
        <w:rPr>
          <w:rFonts w:ascii="Times New Roman" w:eastAsia="Times New Roman" w:hAnsi="Times New Roman" w:cs="Times New Roman"/>
          <w:lang w:val="en-US" w:eastAsia="en-US"/>
        </w:rPr>
        <w:t>Ciment, James. 2020. &lt;Aids/</w:t>
      </w:r>
      <w:proofErr w:type="gramStart"/>
      <w:r w:rsidRPr="00FA4A79">
        <w:rPr>
          <w:rFonts w:ascii="Times New Roman" w:eastAsia="Times New Roman" w:hAnsi="Times New Roman" w:cs="Times New Roman"/>
          <w:lang w:val="en-US" w:eastAsia="en-US"/>
        </w:rPr>
        <w:t>Hiv.=</w:t>
      </w:r>
      <w:proofErr w:type="gramEnd"/>
      <w:r w:rsidRPr="00FA4A79">
        <w:rPr>
          <w:rFonts w:ascii="Times New Roman" w:eastAsia="Times New Roman" w:hAnsi="Times New Roman" w:cs="Times New Roman"/>
          <w:lang w:val="en-US" w:eastAsia="en-US"/>
        </w:rPr>
        <w:t xml:space="preserve"> Social Issues in America: An Encyclopedia: 92– 107.</w:t>
      </w:r>
    </w:p>
    <w:p w:rsidR="00AA6B0C" w:rsidRPr="00FA4A79" w:rsidRDefault="00AA6B0C" w:rsidP="00FA4A79">
      <w:pPr>
        <w:widowControl w:val="0"/>
        <w:numPr>
          <w:ilvl w:val="0"/>
          <w:numId w:val="12"/>
        </w:numPr>
        <w:autoSpaceDE w:val="0"/>
        <w:autoSpaceDN w:val="0"/>
        <w:spacing w:after="0"/>
        <w:ind w:left="567" w:right="20" w:hanging="544"/>
        <w:jc w:val="both"/>
        <w:rPr>
          <w:rFonts w:ascii="Times New Roman" w:eastAsia="Times New Roman" w:hAnsi="Times New Roman" w:cs="Times New Roman"/>
          <w:lang w:val="en-US" w:eastAsia="en-US"/>
        </w:rPr>
      </w:pPr>
      <w:r w:rsidRPr="00FA4A79">
        <w:rPr>
          <w:rFonts w:ascii="Times New Roman" w:eastAsia="Times New Roman" w:hAnsi="Times New Roman" w:cs="Times New Roman"/>
          <w:lang w:val="en-US" w:eastAsia="en-US"/>
        </w:rPr>
        <w:t>Chaeraty Syam, R., Azzahrah Alim, N., Tenri Bunga Muhtar, A., Rahmaniah, L., Cornelia Mahmuddin, L., Muhammad Shiddiq Takdir, A., &amp; Kesehatan Masyarakat, F. (2023). Edukasi Pencegahan HIV/AIDS di Mts DDI Tekolabbua. BERNAS: Jurnal Pengabdian Kepada</w:t>
      </w:r>
      <w:r w:rsidRPr="00FA4A79">
        <w:rPr>
          <w:rFonts w:ascii="Times New Roman" w:eastAsia="Times New Roman" w:hAnsi="Times New Roman" w:cs="Times New Roman"/>
          <w:lang w:eastAsia="en-US"/>
        </w:rPr>
        <w:t xml:space="preserve"> </w:t>
      </w:r>
      <w:r w:rsidRPr="00FA4A79">
        <w:rPr>
          <w:rFonts w:ascii="Times New Roman" w:eastAsia="Times New Roman" w:hAnsi="Times New Roman" w:cs="Times New Roman"/>
          <w:lang w:val="en-US" w:eastAsia="en-US"/>
        </w:rPr>
        <w:t>Masyarakat,</w:t>
      </w:r>
      <w:r w:rsidRPr="00FA4A79">
        <w:rPr>
          <w:rFonts w:ascii="Times New Roman" w:eastAsia="Times New Roman" w:hAnsi="Times New Roman" w:cs="Times New Roman"/>
          <w:lang w:val="en-US" w:eastAsia="en-US"/>
        </w:rPr>
        <w:tab/>
        <w:t xml:space="preserve">4(2),1674–1680. </w:t>
      </w:r>
      <w:hyperlink r:id="rId13" w:history="1">
        <w:r w:rsidRPr="00FA4A79">
          <w:rPr>
            <w:rStyle w:val="Hyperlink"/>
            <w:rFonts w:ascii="Times New Roman" w:eastAsia="Times New Roman" w:hAnsi="Times New Roman" w:cs="Times New Roman"/>
            <w:lang w:val="en-US" w:eastAsia="en-US"/>
          </w:rPr>
          <w:t>https://doi.org/10.31949/jb.v4i2.4711</w:t>
        </w:r>
      </w:hyperlink>
      <w:r w:rsidRPr="00FA4A79">
        <w:rPr>
          <w:rFonts w:ascii="Times New Roman" w:eastAsia="Times New Roman" w:hAnsi="Times New Roman" w:cs="Times New Roman"/>
          <w:lang w:eastAsia="en-US"/>
        </w:rPr>
        <w:t xml:space="preserve"> </w:t>
      </w:r>
      <w:r w:rsidRPr="00FA4A79">
        <w:rPr>
          <w:rFonts w:ascii="Times New Roman" w:eastAsia="Times New Roman" w:hAnsi="Times New Roman" w:cs="Times New Roman"/>
          <w:lang w:val="en-US" w:eastAsia="en-US"/>
        </w:rPr>
        <w:t xml:space="preserve"> </w:t>
      </w:r>
    </w:p>
    <w:p w:rsidR="00AA6B0C" w:rsidRPr="00FA4A79" w:rsidRDefault="00AA6B0C" w:rsidP="00FA4A79">
      <w:pPr>
        <w:widowControl w:val="0"/>
        <w:numPr>
          <w:ilvl w:val="0"/>
          <w:numId w:val="12"/>
        </w:numPr>
        <w:autoSpaceDE w:val="0"/>
        <w:autoSpaceDN w:val="0"/>
        <w:spacing w:after="0"/>
        <w:ind w:left="567" w:right="20" w:hanging="544"/>
        <w:jc w:val="both"/>
        <w:rPr>
          <w:rFonts w:ascii="Times New Roman" w:eastAsia="Times New Roman" w:hAnsi="Times New Roman" w:cs="Times New Roman"/>
          <w:lang w:val="en-US" w:eastAsia="en-US"/>
        </w:rPr>
      </w:pPr>
      <w:r w:rsidRPr="00FA4A79">
        <w:rPr>
          <w:rFonts w:ascii="Times New Roman" w:eastAsia="Times New Roman" w:hAnsi="Times New Roman" w:cs="Times New Roman"/>
          <w:lang w:val="en-US" w:eastAsia="en-US"/>
        </w:rPr>
        <w:t xml:space="preserve">Fajar, H., &amp; Losoiyo, S. R. (2021). Pengaruh Pendidikan Kesehatan terhadap Pengetahuan dan Sikap dalam Pencegahan HIV/AIDS di SMA. Jurnal Penelitian Kesehatan Suara Forikes, 12(85), 182–186. </w:t>
      </w:r>
      <w:hyperlink r:id="rId14" w:history="1">
        <w:r w:rsidRPr="00FA4A79">
          <w:rPr>
            <w:rStyle w:val="Hyperlink"/>
            <w:rFonts w:ascii="Times New Roman" w:eastAsia="Times New Roman" w:hAnsi="Times New Roman" w:cs="Times New Roman"/>
            <w:lang w:val="en-US" w:eastAsia="en-US"/>
          </w:rPr>
          <w:t>http://forikes-ejournal.com/index.php/SF</w:t>
        </w:r>
      </w:hyperlink>
      <w:r w:rsidRPr="00FA4A79">
        <w:rPr>
          <w:rFonts w:ascii="Times New Roman" w:eastAsia="Times New Roman" w:hAnsi="Times New Roman" w:cs="Times New Roman"/>
          <w:lang w:eastAsia="en-US"/>
        </w:rPr>
        <w:t xml:space="preserve"> </w:t>
      </w:r>
    </w:p>
    <w:p w:rsidR="00AA6B0C" w:rsidRPr="00FA4A79" w:rsidRDefault="00AA6B0C" w:rsidP="00FA4A79">
      <w:pPr>
        <w:widowControl w:val="0"/>
        <w:numPr>
          <w:ilvl w:val="0"/>
          <w:numId w:val="12"/>
        </w:numPr>
        <w:autoSpaceDE w:val="0"/>
        <w:autoSpaceDN w:val="0"/>
        <w:spacing w:after="0"/>
        <w:ind w:left="567" w:right="20" w:hanging="544"/>
        <w:jc w:val="both"/>
        <w:rPr>
          <w:rFonts w:ascii="Times New Roman" w:eastAsia="Times New Roman" w:hAnsi="Times New Roman" w:cs="Times New Roman"/>
          <w:lang w:val="en-US" w:eastAsia="en-US"/>
        </w:rPr>
      </w:pPr>
      <w:r w:rsidRPr="00FA4A79">
        <w:rPr>
          <w:rFonts w:ascii="Times New Roman" w:eastAsia="Times New Roman" w:hAnsi="Times New Roman" w:cs="Times New Roman"/>
          <w:lang w:val="en-US" w:eastAsia="en-US"/>
        </w:rPr>
        <w:t>Fadjajarani. (2020). Metodelogi Penelitian Dasar. In Journal Experimental.Psychology.</w:t>
      </w:r>
      <w:r w:rsidRPr="00FA4A79">
        <w:rPr>
          <w:rFonts w:ascii="Times New Roman" w:eastAsia="Times New Roman" w:hAnsi="Times New Roman" w:cs="Times New Roman"/>
          <w:lang w:eastAsia="en-US"/>
        </w:rPr>
        <w:t xml:space="preserve"> </w:t>
      </w:r>
      <w:r w:rsidRPr="00FA4A79">
        <w:rPr>
          <w:rFonts w:ascii="Times New Roman" w:eastAsia="Times New Roman" w:hAnsi="Times New Roman" w:cs="Times New Roman"/>
          <w:lang w:val="en-US" w:eastAsia="en-US"/>
        </w:rPr>
        <w:t>General (Vol. 136, Issue 1) Haryanti, Y.D. (2020)</w:t>
      </w:r>
    </w:p>
    <w:p w:rsidR="00AA6B0C" w:rsidRPr="00FA4A79" w:rsidRDefault="00AA6B0C" w:rsidP="00FA4A79">
      <w:pPr>
        <w:widowControl w:val="0"/>
        <w:numPr>
          <w:ilvl w:val="0"/>
          <w:numId w:val="12"/>
        </w:numPr>
        <w:autoSpaceDE w:val="0"/>
        <w:autoSpaceDN w:val="0"/>
        <w:spacing w:after="0"/>
        <w:ind w:left="567" w:right="20" w:hanging="544"/>
        <w:jc w:val="both"/>
        <w:rPr>
          <w:rFonts w:ascii="Times New Roman" w:eastAsia="Times New Roman" w:hAnsi="Times New Roman" w:cs="Times New Roman"/>
          <w:lang w:val="en-US" w:eastAsia="en-US"/>
        </w:rPr>
      </w:pPr>
      <w:r w:rsidRPr="00FA4A79">
        <w:rPr>
          <w:rFonts w:ascii="Times New Roman" w:eastAsia="Times New Roman" w:hAnsi="Times New Roman" w:cs="Times New Roman"/>
          <w:lang w:val="en-US" w:eastAsia="en-US"/>
        </w:rPr>
        <w:t>Idris, F. P. (2022). Intervensi Media Promosi Kesehatan Terhadap Perubahan Sikap Anggota OSIS mengenai Pencegahan HIV AIDS. Jurnal Keperawatan, 14(3), 703-708.</w:t>
      </w:r>
    </w:p>
    <w:p w:rsidR="00AA6B0C" w:rsidRPr="00FA4A79" w:rsidRDefault="00AA6B0C" w:rsidP="00FA4A79">
      <w:pPr>
        <w:widowControl w:val="0"/>
        <w:numPr>
          <w:ilvl w:val="0"/>
          <w:numId w:val="12"/>
        </w:numPr>
        <w:autoSpaceDE w:val="0"/>
        <w:autoSpaceDN w:val="0"/>
        <w:spacing w:after="0"/>
        <w:ind w:left="567" w:right="20" w:hanging="544"/>
        <w:jc w:val="both"/>
        <w:rPr>
          <w:rFonts w:ascii="Times New Roman" w:eastAsia="Times New Roman" w:hAnsi="Times New Roman" w:cs="Times New Roman"/>
          <w:lang w:val="en-US" w:eastAsia="en-US"/>
        </w:rPr>
      </w:pPr>
      <w:r w:rsidRPr="00FA4A79">
        <w:rPr>
          <w:rFonts w:ascii="Times New Roman" w:eastAsia="Times New Roman" w:hAnsi="Times New Roman" w:cs="Times New Roman"/>
          <w:lang w:val="en-US" w:eastAsia="en-US"/>
        </w:rPr>
        <w:t>Iskandar, I., Nursa’adah, N. A., Fani, F., Mulfianda, R., &amp; Meutia, P. D. (2022). Perbedaan Tingkat Pengetahuan Antara Metode Ceramah Dan Penggunaan Video Animasi Dalam Penyuluhan Kesehatan Hiv/Aids Pada Siswa. Jurnal Dedikasi Pendidikan, 6(1), 31-44.</w:t>
      </w:r>
    </w:p>
    <w:p w:rsidR="00AA6B0C" w:rsidRPr="00FA4A79" w:rsidRDefault="00AA6B0C" w:rsidP="00FA4A79">
      <w:pPr>
        <w:widowControl w:val="0"/>
        <w:numPr>
          <w:ilvl w:val="0"/>
          <w:numId w:val="12"/>
        </w:numPr>
        <w:autoSpaceDE w:val="0"/>
        <w:autoSpaceDN w:val="0"/>
        <w:spacing w:after="0"/>
        <w:ind w:left="567" w:right="20" w:hanging="544"/>
        <w:jc w:val="both"/>
        <w:rPr>
          <w:rFonts w:ascii="Times New Roman" w:eastAsia="Times New Roman" w:hAnsi="Times New Roman" w:cs="Times New Roman"/>
          <w:lang w:val="en-US" w:eastAsia="en-US"/>
        </w:rPr>
      </w:pPr>
      <w:r w:rsidRPr="00FA4A79">
        <w:rPr>
          <w:rFonts w:ascii="Times New Roman" w:eastAsia="Times New Roman" w:hAnsi="Times New Roman" w:cs="Times New Roman"/>
          <w:lang w:val="en-US" w:eastAsia="en-US"/>
        </w:rPr>
        <w:t>Mashuri, D. K. (2020). Pengembangan Media Pembelajaran Video Animasi untuk Sekolah Dasar Kelas V. Jpgsd, 08(05), 893–903.</w:t>
      </w:r>
    </w:p>
    <w:p w:rsidR="00D44EB6" w:rsidRPr="00FA4A79" w:rsidRDefault="00AA6B0C" w:rsidP="00FA4A79">
      <w:pPr>
        <w:widowControl w:val="0"/>
        <w:numPr>
          <w:ilvl w:val="0"/>
          <w:numId w:val="12"/>
        </w:numPr>
        <w:autoSpaceDE w:val="0"/>
        <w:autoSpaceDN w:val="0"/>
        <w:spacing w:after="0"/>
        <w:ind w:left="567" w:right="20" w:hanging="544"/>
        <w:jc w:val="both"/>
        <w:rPr>
          <w:rFonts w:ascii="Times New Roman" w:eastAsia="Times New Roman" w:hAnsi="Times New Roman" w:cs="Times New Roman"/>
          <w:lang w:val="en-US" w:eastAsia="en-US"/>
        </w:rPr>
      </w:pPr>
      <w:r w:rsidRPr="00FA4A79">
        <w:rPr>
          <w:rFonts w:ascii="Times New Roman" w:eastAsia="Times New Roman" w:hAnsi="Times New Roman" w:cs="Times New Roman"/>
          <w:lang w:val="en-US" w:eastAsia="en-US"/>
        </w:rPr>
        <w:t xml:space="preserve">Metode </w:t>
      </w:r>
      <w:proofErr w:type="gramStart"/>
      <w:r w:rsidRPr="00FA4A79">
        <w:rPr>
          <w:rFonts w:ascii="Times New Roman" w:eastAsia="Times New Roman" w:hAnsi="Times New Roman" w:cs="Times New Roman"/>
          <w:lang w:val="en-US" w:eastAsia="en-US"/>
        </w:rPr>
        <w:t>Kuantitatif ;</w:t>
      </w:r>
      <w:proofErr w:type="gramEnd"/>
      <w:r w:rsidRPr="00FA4A79">
        <w:rPr>
          <w:rFonts w:ascii="Times New Roman" w:eastAsia="Times New Roman" w:hAnsi="Times New Roman" w:cs="Times New Roman"/>
          <w:lang w:val="en-US" w:eastAsia="en-US"/>
        </w:rPr>
        <w:t xml:space="preserve"> Authors, Dr. Aris Eddy Sarwono, MSi</w:t>
      </w:r>
      <w:proofErr w:type="gramStart"/>
      <w:r w:rsidRPr="00FA4A79">
        <w:rPr>
          <w:rFonts w:ascii="Times New Roman" w:eastAsia="Times New Roman" w:hAnsi="Times New Roman" w:cs="Times New Roman"/>
          <w:lang w:val="en-US" w:eastAsia="en-US"/>
        </w:rPr>
        <w:t>.,Ak</w:t>
      </w:r>
      <w:proofErr w:type="gramEnd"/>
      <w:r w:rsidRPr="00FA4A79">
        <w:rPr>
          <w:rFonts w:ascii="Times New Roman" w:eastAsia="Times New Roman" w:hAnsi="Times New Roman" w:cs="Times New Roman"/>
          <w:lang w:val="en-US" w:eastAsia="en-US"/>
        </w:rPr>
        <w:t xml:space="preserve"> , Dr. Asih Handayani M.Si., </w:t>
      </w:r>
      <w:proofErr w:type="gramStart"/>
      <w:r w:rsidRPr="00FA4A79">
        <w:rPr>
          <w:rFonts w:ascii="Times New Roman" w:eastAsia="Times New Roman" w:hAnsi="Times New Roman" w:cs="Times New Roman"/>
          <w:lang w:val="en-US" w:eastAsia="en-US"/>
        </w:rPr>
        <w:t>M.Pd. ;</w:t>
      </w:r>
      <w:proofErr w:type="gramEnd"/>
      <w:r w:rsidRPr="00FA4A79">
        <w:rPr>
          <w:rFonts w:ascii="Times New Roman" w:eastAsia="Times New Roman" w:hAnsi="Times New Roman" w:cs="Times New Roman"/>
          <w:lang w:val="en-US" w:eastAsia="en-US"/>
        </w:rPr>
        <w:t xml:space="preserve"> Publisher, Unisri Press, </w:t>
      </w:r>
      <w:proofErr w:type="gramStart"/>
      <w:r w:rsidRPr="00FA4A79">
        <w:rPr>
          <w:rFonts w:ascii="Times New Roman" w:eastAsia="Times New Roman" w:hAnsi="Times New Roman" w:cs="Times New Roman"/>
          <w:lang w:val="en-US" w:eastAsia="en-US"/>
        </w:rPr>
        <w:t>2021 ;</w:t>
      </w:r>
      <w:proofErr w:type="gramEnd"/>
      <w:r w:rsidRPr="00FA4A79">
        <w:rPr>
          <w:rFonts w:ascii="Times New Roman" w:eastAsia="Times New Roman" w:hAnsi="Times New Roman" w:cs="Times New Roman"/>
          <w:lang w:val="en-US" w:eastAsia="en-US"/>
        </w:rPr>
        <w:t xml:space="preserve"> ISBN, 6239667080 Notoadmojo, S. 2018, Metodelogi Penelitian Kesehatan, </w:t>
      </w:r>
      <w:proofErr w:type="gramStart"/>
      <w:r w:rsidRPr="00FA4A79">
        <w:rPr>
          <w:rFonts w:ascii="Times New Roman" w:eastAsia="Times New Roman" w:hAnsi="Times New Roman" w:cs="Times New Roman"/>
          <w:lang w:val="en-US" w:eastAsia="en-US"/>
        </w:rPr>
        <w:t>Jakarta :</w:t>
      </w:r>
      <w:proofErr w:type="gramEnd"/>
      <w:r w:rsidRPr="00FA4A79">
        <w:rPr>
          <w:rFonts w:ascii="Times New Roman" w:eastAsia="Times New Roman" w:hAnsi="Times New Roman" w:cs="Times New Roman"/>
          <w:lang w:val="en-US" w:eastAsia="en-US"/>
        </w:rPr>
        <w:t xml:space="preserve"> Rineka Cipta.</w:t>
      </w:r>
    </w:p>
    <w:p w:rsidR="00FB50C5" w:rsidRPr="00FA4A79" w:rsidRDefault="00FB50C5" w:rsidP="00FA4A79">
      <w:pPr>
        <w:spacing w:after="0"/>
        <w:ind w:right="20"/>
        <w:jc w:val="both"/>
        <w:rPr>
          <w:rFonts w:ascii="Times New Roman" w:hAnsi="Times New Roman" w:cs="Times New Roman"/>
        </w:rPr>
      </w:pPr>
    </w:p>
    <w:sectPr w:rsidR="00FB50C5" w:rsidRPr="00FA4A79" w:rsidSect="00114E1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F8E" w:rsidRDefault="00423F8E" w:rsidP="00E17795">
      <w:pPr>
        <w:spacing w:after="0" w:line="240" w:lineRule="auto"/>
      </w:pPr>
      <w:r>
        <w:separator/>
      </w:r>
    </w:p>
  </w:endnote>
  <w:endnote w:type="continuationSeparator" w:id="0">
    <w:p w:rsidR="00423F8E" w:rsidRDefault="00423F8E" w:rsidP="00E17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15D" w:rsidRPr="00E17795" w:rsidRDefault="00AC215D">
    <w:pPr>
      <w:pStyle w:val="Footer"/>
      <w:jc w:val="center"/>
      <w:rPr>
        <w:rFonts w:ascii="Arial" w:hAnsi="Arial" w:cs="Arial"/>
        <w:sz w:val="24"/>
        <w:szCs w:val="24"/>
      </w:rPr>
    </w:pPr>
  </w:p>
  <w:sdt>
    <w:sdtPr>
      <w:rPr>
        <w:rFonts w:asciiTheme="majorHAnsi" w:hAnsiTheme="majorHAnsi"/>
        <w:b/>
        <w:bCs/>
        <w:sz w:val="24"/>
        <w:szCs w:val="24"/>
      </w:rPr>
      <w:id w:val="-184834915"/>
      <w:docPartObj>
        <w:docPartGallery w:val="Page Numbers (Bottom of Page)"/>
        <w:docPartUnique/>
      </w:docPartObj>
    </w:sdtPr>
    <w:sdtEndPr>
      <w:rPr>
        <w:noProof/>
      </w:rPr>
    </w:sdtEndPr>
    <w:sdtContent>
      <w:p w:rsidR="00114E18" w:rsidRPr="008C1498" w:rsidRDefault="00114E18" w:rsidP="00114E18">
        <w:pPr>
          <w:pStyle w:val="Footer"/>
          <w:jc w:val="right"/>
          <w:rPr>
            <w:rFonts w:asciiTheme="majorHAnsi" w:hAnsiTheme="majorHAnsi"/>
            <w:b/>
            <w:bCs/>
            <w:sz w:val="24"/>
            <w:szCs w:val="24"/>
          </w:rPr>
        </w:pPr>
        <w:r w:rsidRPr="008C1498">
          <w:rPr>
            <w:rFonts w:asciiTheme="majorHAnsi" w:hAnsiTheme="majorHAnsi"/>
            <w:b/>
            <w:bCs/>
            <w:sz w:val="24"/>
            <w:szCs w:val="24"/>
          </w:rPr>
          <w:fldChar w:fldCharType="begin"/>
        </w:r>
        <w:r w:rsidRPr="008C1498">
          <w:rPr>
            <w:rFonts w:asciiTheme="majorHAnsi" w:hAnsiTheme="majorHAnsi"/>
            <w:b/>
            <w:bCs/>
            <w:sz w:val="24"/>
            <w:szCs w:val="24"/>
          </w:rPr>
          <w:instrText xml:space="preserve"> PAGE   \* MERGEFORMAT </w:instrText>
        </w:r>
        <w:r w:rsidRPr="008C1498">
          <w:rPr>
            <w:rFonts w:asciiTheme="majorHAnsi" w:hAnsiTheme="majorHAnsi"/>
            <w:b/>
            <w:bCs/>
            <w:sz w:val="24"/>
            <w:szCs w:val="24"/>
          </w:rPr>
          <w:fldChar w:fldCharType="separate"/>
        </w:r>
        <w:r w:rsidR="00A82086">
          <w:rPr>
            <w:rFonts w:asciiTheme="majorHAnsi" w:hAnsiTheme="majorHAnsi"/>
            <w:b/>
            <w:bCs/>
            <w:noProof/>
            <w:sz w:val="24"/>
            <w:szCs w:val="24"/>
          </w:rPr>
          <w:t>2</w:t>
        </w:r>
        <w:r w:rsidRPr="008C1498">
          <w:rPr>
            <w:rFonts w:asciiTheme="majorHAnsi" w:hAnsiTheme="majorHAnsi"/>
            <w:b/>
            <w:bCs/>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A79" w:rsidRPr="005A11A0" w:rsidRDefault="00FA4A79" w:rsidP="00FA4A79">
    <w:pPr>
      <w:pStyle w:val="Footer"/>
      <w:jc w:val="right"/>
      <w:rPr>
        <w:rFonts w:ascii="Cambria" w:hAnsi="Cambria" w:cstheme="majorHAnsi"/>
        <w:b/>
        <w:szCs w:val="18"/>
      </w:rPr>
    </w:pPr>
    <w:r w:rsidRPr="005A11A0">
      <w:rPr>
        <w:rFonts w:ascii="Cambria" w:hAnsi="Cambria" w:cstheme="majorHAnsi"/>
        <w:b/>
        <w:szCs w:val="18"/>
      </w:rPr>
      <w:fldChar w:fldCharType="begin"/>
    </w:r>
    <w:r w:rsidRPr="005A11A0">
      <w:rPr>
        <w:rFonts w:ascii="Cambria" w:hAnsi="Cambria" w:cstheme="majorHAnsi"/>
        <w:b/>
        <w:szCs w:val="18"/>
      </w:rPr>
      <w:instrText xml:space="preserve"> PAGE   \* MERGEFORMAT </w:instrText>
    </w:r>
    <w:r w:rsidRPr="005A11A0">
      <w:rPr>
        <w:rFonts w:ascii="Cambria" w:hAnsi="Cambria" w:cstheme="majorHAnsi"/>
        <w:b/>
        <w:szCs w:val="18"/>
      </w:rPr>
      <w:fldChar w:fldCharType="separate"/>
    </w:r>
    <w:r>
      <w:rPr>
        <w:rFonts w:ascii="Cambria" w:hAnsi="Cambria" w:cstheme="majorHAnsi"/>
        <w:b/>
        <w:szCs w:val="18"/>
      </w:rPr>
      <w:t>129</w:t>
    </w:r>
    <w:r>
      <w:rPr>
        <w:rFonts w:ascii="Cambria" w:hAnsi="Cambria" w:cstheme="majorHAnsi"/>
        <w:b/>
        <w:szCs w:val="18"/>
      </w:rPr>
      <w:t>0</w:t>
    </w:r>
    <w:r w:rsidRPr="005A11A0">
      <w:rPr>
        <w:rFonts w:ascii="Cambria" w:hAnsi="Cambria" w:cstheme="majorHAnsi"/>
        <w:b/>
        <w:noProof/>
        <w:szCs w:val="18"/>
      </w:rPr>
      <w:fldChar w:fldCharType="end"/>
    </w:r>
  </w:p>
  <w:p w:rsidR="00FA4A79" w:rsidRPr="005A11A0" w:rsidRDefault="00FA4A79" w:rsidP="00FA4A79">
    <w:pPr>
      <w:pStyle w:val="Footer"/>
      <w:jc w:val="right"/>
      <w:rPr>
        <w:rStyle w:val="Hyperlink"/>
        <w:rFonts w:ascii="Cambria" w:hAnsi="Cambria" w:cstheme="majorHAnsi"/>
        <w:color w:val="0000FF"/>
        <w:sz w:val="20"/>
      </w:rPr>
    </w:pPr>
    <w:hyperlink r:id="rId1" w:history="1">
      <w:r w:rsidRPr="005A11A0">
        <w:rPr>
          <w:rStyle w:val="Hyperlink"/>
          <w:rFonts w:ascii="Cambria" w:hAnsi="Cambria" w:cstheme="majorHAnsi"/>
          <w:color w:val="0000FF"/>
          <w:sz w:val="20"/>
        </w:rPr>
        <w:t>https://ejournal.uika-bogor.ac.id/index.php/Hearty/issue/archive</w:t>
      </w:r>
    </w:hyperlink>
  </w:p>
  <w:p w:rsidR="00FA4A79" w:rsidRPr="005A11A0" w:rsidRDefault="00FA4A79" w:rsidP="00FA4A79">
    <w:pPr>
      <w:pStyle w:val="Footer"/>
      <w:jc w:val="right"/>
      <w:rPr>
        <w:rFonts w:ascii="Cambria" w:hAnsi="Cambria" w:cstheme="majorHAnsi"/>
        <w:color w:val="0000FF"/>
        <w:sz w:val="20"/>
        <w:szCs w:val="20"/>
      </w:rPr>
    </w:pPr>
    <w:r w:rsidRPr="005A11A0">
      <w:rPr>
        <w:rFonts w:ascii="Cambria" w:hAnsi="Cambria" w:cstheme="majorHAnsi"/>
        <w:color w:val="000000"/>
        <w:sz w:val="20"/>
        <w:szCs w:val="16"/>
      </w:rPr>
      <w:t xml:space="preserve">Submitted: </w:t>
    </w:r>
    <w:r>
      <w:rPr>
        <w:rFonts w:ascii="Cambria" w:hAnsi="Cambria" w:cstheme="majorHAnsi"/>
        <w:color w:val="000000"/>
        <w:sz w:val="20"/>
        <w:szCs w:val="16"/>
        <w:lang w:val="en-US"/>
      </w:rPr>
      <w:t>July</w:t>
    </w:r>
    <w:r w:rsidRPr="005A11A0">
      <w:rPr>
        <w:rFonts w:ascii="Cambria" w:hAnsi="Cambria" w:cstheme="majorHAnsi"/>
        <w:color w:val="000000"/>
        <w:sz w:val="20"/>
        <w:szCs w:val="16"/>
      </w:rPr>
      <w:t xml:space="preserve">-2025 Received: </w:t>
    </w:r>
    <w:r w:rsidRPr="005A11A0">
      <w:rPr>
        <w:rFonts w:ascii="Cambria" w:hAnsi="Cambria" w:cstheme="majorHAnsi"/>
        <w:color w:val="000000"/>
        <w:sz w:val="20"/>
        <w:szCs w:val="16"/>
        <w:lang w:val="en-US"/>
      </w:rPr>
      <w:t>August</w:t>
    </w:r>
    <w:r w:rsidRPr="005A11A0">
      <w:rPr>
        <w:rFonts w:ascii="Cambria" w:hAnsi="Cambria" w:cstheme="majorHAnsi"/>
        <w:color w:val="000000"/>
        <w:sz w:val="20"/>
        <w:szCs w:val="16"/>
      </w:rPr>
      <w:t xml:space="preserve">-2025 Available </w:t>
    </w:r>
    <w:bookmarkStart w:id="19" w:name="_Hlk179985871"/>
    <w:r w:rsidRPr="005A11A0">
      <w:rPr>
        <w:rFonts w:ascii="Cambria" w:hAnsi="Cambria" w:cstheme="majorHAnsi"/>
        <w:color w:val="000000"/>
        <w:sz w:val="20"/>
        <w:szCs w:val="16"/>
      </w:rPr>
      <w:t xml:space="preserve">Online: </w:t>
    </w:r>
    <w:r w:rsidRPr="005A11A0">
      <w:rPr>
        <w:rFonts w:ascii="Cambria" w:hAnsi="Cambria" w:cstheme="majorHAnsi"/>
        <w:color w:val="000000"/>
        <w:sz w:val="20"/>
        <w:szCs w:val="16"/>
        <w:lang w:val="en-US"/>
      </w:rPr>
      <w:t>October</w:t>
    </w:r>
    <w:r w:rsidRPr="005A11A0">
      <w:rPr>
        <w:rFonts w:ascii="Cambria" w:hAnsi="Cambria" w:cstheme="majorHAnsi"/>
        <w:color w:val="000000"/>
        <w:sz w:val="20"/>
        <w:szCs w:val="16"/>
      </w:rPr>
      <w:t>-2025</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F8E" w:rsidRDefault="00423F8E" w:rsidP="00E17795">
      <w:pPr>
        <w:spacing w:after="0" w:line="240" w:lineRule="auto"/>
      </w:pPr>
      <w:r>
        <w:separator/>
      </w:r>
    </w:p>
  </w:footnote>
  <w:footnote w:type="continuationSeparator" w:id="0">
    <w:p w:rsidR="00423F8E" w:rsidRDefault="00423F8E" w:rsidP="00E17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9B9" w:rsidRPr="007F6CEF" w:rsidRDefault="00BF59B9" w:rsidP="00AC215D">
    <w:pPr>
      <w:pStyle w:val="Header"/>
      <w:jc w:val="right"/>
      <w:rPr>
        <w:rFonts w:ascii="Arial" w:hAnsi="Arial" w:cs="Arial"/>
        <w:b/>
        <w:sz w:val="20"/>
        <w:szCs w:val="20"/>
      </w:rPr>
    </w:pPr>
  </w:p>
  <w:p w:rsidR="00BF59B9" w:rsidRDefault="00BF5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A79" w:rsidRPr="00D86BCC" w:rsidRDefault="00FA4A79" w:rsidP="00FA4A79">
    <w:pPr>
      <w:pStyle w:val="Header"/>
      <w:jc w:val="center"/>
      <w:rPr>
        <w:rFonts w:cs="Calibri"/>
      </w:rPr>
    </w:pPr>
    <w:bookmarkStart w:id="1" w:name="_Hlk179987543"/>
    <w:bookmarkStart w:id="2" w:name="_Hlk179987544"/>
    <w:bookmarkStart w:id="3" w:name="_Hlk179988589"/>
    <w:bookmarkStart w:id="4" w:name="_Hlk179988590"/>
    <w:bookmarkStart w:id="5" w:name="_Hlk179988665"/>
    <w:bookmarkStart w:id="6" w:name="_Hlk179988666"/>
    <w:bookmarkStart w:id="7" w:name="_Hlk180251429"/>
    <w:bookmarkStart w:id="8" w:name="_Hlk180251430"/>
    <w:bookmarkStart w:id="9" w:name="_Hlk180251437"/>
    <w:bookmarkStart w:id="10" w:name="_Hlk180251438"/>
    <w:bookmarkStart w:id="11" w:name="_Hlk180418477"/>
    <w:bookmarkStart w:id="12" w:name="_Hlk180418478"/>
    <w:bookmarkStart w:id="13" w:name="_Hlk180418485"/>
    <w:bookmarkStart w:id="14" w:name="_Hlk180418486"/>
    <w:bookmarkStart w:id="15" w:name="_Hlk180418493"/>
    <w:bookmarkStart w:id="16" w:name="_Hlk180418494"/>
    <w:bookmarkStart w:id="17" w:name="_Hlk209600008"/>
    <w:bookmarkStart w:id="18" w:name="_Hlk209600009"/>
    <w:r w:rsidRPr="00D86BCC">
      <w:rPr>
        <w:rFonts w:cs="Calibri"/>
        <w:noProof/>
      </w:rPr>
      <w:drawing>
        <wp:anchor distT="0" distB="0" distL="114300" distR="114300" simplePos="0" relativeHeight="251660288" behindDoc="1" locked="0" layoutInCell="1" allowOverlap="1" wp14:anchorId="05E082EC" wp14:editId="110B4166">
          <wp:simplePos x="0" y="0"/>
          <wp:positionH relativeFrom="column">
            <wp:posOffset>71755</wp:posOffset>
          </wp:positionH>
          <wp:positionV relativeFrom="paragraph">
            <wp:posOffset>3175</wp:posOffset>
          </wp:positionV>
          <wp:extent cx="5589905" cy="1082040"/>
          <wp:effectExtent l="0" t="0" r="0" b="3810"/>
          <wp:wrapNone/>
          <wp:docPr id="854324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9905"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4A79" w:rsidRPr="00D86BCC" w:rsidRDefault="00FA4A79" w:rsidP="00FA4A79">
    <w:pPr>
      <w:pStyle w:val="Header"/>
      <w:jc w:val="center"/>
      <w:rPr>
        <w:rFonts w:cs="Calibri"/>
      </w:rPr>
    </w:pPr>
  </w:p>
  <w:p w:rsidR="00FA4A79" w:rsidRPr="00D86BCC" w:rsidRDefault="00FA4A79" w:rsidP="00FA4A79">
    <w:pPr>
      <w:pStyle w:val="Header"/>
      <w:jc w:val="center"/>
      <w:rPr>
        <w:rFonts w:cs="Calibri"/>
      </w:rPr>
    </w:pPr>
  </w:p>
  <w:p w:rsidR="00FA4A79" w:rsidRPr="00D86BCC" w:rsidRDefault="00FA4A79" w:rsidP="00FA4A79">
    <w:pPr>
      <w:pStyle w:val="Header"/>
      <w:jc w:val="center"/>
      <w:rPr>
        <w:rFonts w:cs="Calibri"/>
      </w:rPr>
    </w:pPr>
  </w:p>
  <w:p w:rsidR="00FA4A79" w:rsidRPr="00D86BCC" w:rsidRDefault="00FA4A79" w:rsidP="00FA4A79">
    <w:pPr>
      <w:pStyle w:val="Header"/>
      <w:jc w:val="center"/>
      <w:rPr>
        <w:rFonts w:cs="Calibri"/>
      </w:rPr>
    </w:pPr>
  </w:p>
  <w:p w:rsidR="00FA4A79" w:rsidRPr="00EA3190" w:rsidRDefault="00FA4A79" w:rsidP="00FA4A79">
    <w:pPr>
      <w:pStyle w:val="Header"/>
      <w:jc w:val="center"/>
      <w:rPr>
        <w:rFonts w:cs="Calibri"/>
        <w:sz w:val="6"/>
      </w:rPr>
    </w:pPr>
  </w:p>
  <w:p w:rsidR="00FA4A79" w:rsidRPr="00BC70E1" w:rsidRDefault="00FA4A79" w:rsidP="00FA4A79">
    <w:pPr>
      <w:pStyle w:val="Header"/>
      <w:tabs>
        <w:tab w:val="left" w:pos="142"/>
      </w:tabs>
      <w:rPr>
        <w:rFonts w:ascii="Comic Sans MS" w:hAnsi="Comic Sans MS"/>
        <w:sz w:val="18"/>
      </w:rPr>
    </w:pPr>
    <w:r>
      <w:rPr>
        <w:rFonts w:ascii="Comic Sans MS" w:hAnsi="Comic Sans MS"/>
        <w:sz w:val="18"/>
      </w:rPr>
      <w:tab/>
    </w:r>
    <w:r w:rsidRPr="000A1879">
      <w:rPr>
        <w:rFonts w:ascii="Comic Sans MS" w:hAnsi="Comic Sans MS"/>
        <w:sz w:val="18"/>
      </w:rPr>
      <w:t xml:space="preserve">Vol. </w:t>
    </w:r>
    <w:r>
      <w:rPr>
        <w:rFonts w:ascii="Comic Sans MS" w:hAnsi="Comic Sans MS"/>
        <w:sz w:val="18"/>
      </w:rPr>
      <w:t>13</w:t>
    </w:r>
    <w:r w:rsidRPr="000A1879">
      <w:rPr>
        <w:rFonts w:ascii="Comic Sans MS" w:hAnsi="Comic Sans MS"/>
        <w:sz w:val="18"/>
      </w:rPr>
      <w:t xml:space="preserve"> No. </w:t>
    </w:r>
    <w:r>
      <w:rPr>
        <w:rFonts w:ascii="Comic Sans MS" w:hAnsi="Comic Sans MS"/>
        <w:sz w:val="18"/>
        <w:lang w:val="en-US"/>
      </w:rPr>
      <w:t>5</w:t>
    </w:r>
    <w:r w:rsidRPr="000A1879">
      <w:rPr>
        <w:rFonts w:ascii="Comic Sans MS" w:hAnsi="Comic Sans MS"/>
        <w:sz w:val="18"/>
      </w:rPr>
      <w:t xml:space="preserve">, </w:t>
    </w:r>
    <w:r>
      <w:rPr>
        <w:rFonts w:ascii="Comic Sans MS" w:hAnsi="Comic Sans MS"/>
        <w:sz w:val="18"/>
        <w:lang w:val="en-US"/>
      </w:rPr>
      <w:t>Oktober</w:t>
    </w:r>
    <w:r w:rsidRPr="000A1879">
      <w:rPr>
        <w:rFonts w:ascii="Comic Sans MS" w:hAnsi="Comic Sans MS"/>
        <w:sz w:val="18"/>
      </w:rPr>
      <w:t xml:space="preserve"> 202</w:t>
    </w:r>
    <w:r>
      <w:rPr>
        <w:rFonts w:ascii="Comic Sans MS" w:hAnsi="Comic Sans MS"/>
        <w:sz w:val="18"/>
      </w:rPr>
      <w:t>5</w:t>
    </w:r>
    <w:r w:rsidRPr="000A1879">
      <w:rPr>
        <w:rFonts w:ascii="Comic Sans MS" w:hAnsi="Comic Sans MS"/>
        <w:sz w:val="18"/>
      </w:rPr>
      <w:t xml:space="preserve">, Hal. </w:t>
    </w:r>
    <w:r>
      <w:rPr>
        <w:rFonts w:ascii="Comic Sans MS" w:hAnsi="Comic Sans MS"/>
        <w:sz w:val="18"/>
      </w:rPr>
      <w:t>1314</w:t>
    </w:r>
    <w:r w:rsidRPr="000A1879">
      <w:rPr>
        <w:rFonts w:ascii="Comic Sans MS" w:hAnsi="Comic Sans MS"/>
        <w:sz w:val="18"/>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Comic Sans MS" w:hAnsi="Comic Sans MS"/>
        <w:sz w:val="18"/>
      </w:rPr>
      <w:t>1321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EF6"/>
    <w:multiLevelType w:val="hybridMultilevel"/>
    <w:tmpl w:val="B3880650"/>
    <w:lvl w:ilvl="0" w:tplc="74FA04DC">
      <w:start w:val="1"/>
      <w:numFmt w:val="decimal"/>
      <w:lvlText w:val="5.3.%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77B2585"/>
    <w:multiLevelType w:val="hybridMultilevel"/>
    <w:tmpl w:val="01C09C36"/>
    <w:lvl w:ilvl="0" w:tplc="98C42C4C">
      <w:start w:val="1"/>
      <w:numFmt w:val="upperRoman"/>
      <w:pStyle w:val="21aSubjudul1Pendahuluandst"/>
      <w:lvlText w:val="%1."/>
      <w:lvlJc w:val="right"/>
      <w:pPr>
        <w:ind w:left="720" w:hanging="360"/>
      </w:pPr>
    </w:lvl>
    <w:lvl w:ilvl="1" w:tplc="60C24FF4">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1106B"/>
    <w:multiLevelType w:val="hybridMultilevel"/>
    <w:tmpl w:val="7BC84B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A484872"/>
    <w:multiLevelType w:val="hybridMultilevel"/>
    <w:tmpl w:val="8D0EF554"/>
    <w:lvl w:ilvl="0" w:tplc="B73C04F6">
      <w:start w:val="14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344392"/>
    <w:multiLevelType w:val="hybridMultilevel"/>
    <w:tmpl w:val="E1C4D78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19F2ABAA">
      <w:start w:val="1"/>
      <w:numFmt w:val="decimal"/>
      <w:lvlText w:val="%4."/>
      <w:lvlJc w:val="left"/>
      <w:pPr>
        <w:ind w:left="2880" w:hanging="360"/>
      </w:pPr>
      <w:rPr>
        <w:rFonts w:asciiTheme="minorHAnsi" w:eastAsia="Times New Roman" w:hAnsiTheme="minorHAnsi"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3F1950A3"/>
    <w:multiLevelType w:val="multilevel"/>
    <w:tmpl w:val="3CAC2174"/>
    <w:lvl w:ilvl="0">
      <w:start w:val="3"/>
      <w:numFmt w:val="decimal"/>
      <w:lvlText w:val="%1."/>
      <w:lvlJc w:val="left"/>
      <w:pPr>
        <w:ind w:left="540" w:hanging="540"/>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3240" w:hanging="144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4320" w:hanging="180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6" w15:restartNumberingAfterBreak="0">
    <w:nsid w:val="49517BB4"/>
    <w:multiLevelType w:val="hybridMultilevel"/>
    <w:tmpl w:val="DB40BB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C6A4175"/>
    <w:multiLevelType w:val="hybridMultilevel"/>
    <w:tmpl w:val="B116194E"/>
    <w:lvl w:ilvl="0" w:tplc="46B4F8CA">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25A8A86">
      <w:numFmt w:val="bullet"/>
      <w:lvlText w:val="•"/>
      <w:lvlJc w:val="left"/>
      <w:pPr>
        <w:ind w:left="1573" w:hanging="720"/>
      </w:pPr>
      <w:rPr>
        <w:rFonts w:hint="default"/>
        <w:lang w:val="en-US" w:eastAsia="en-US" w:bidi="ar-SA"/>
      </w:rPr>
    </w:lvl>
    <w:lvl w:ilvl="2" w:tplc="CA56CF6C">
      <w:numFmt w:val="bullet"/>
      <w:lvlText w:val="•"/>
      <w:lvlJc w:val="left"/>
      <w:pPr>
        <w:ind w:left="2406" w:hanging="720"/>
      </w:pPr>
      <w:rPr>
        <w:rFonts w:hint="default"/>
        <w:lang w:val="en-US" w:eastAsia="en-US" w:bidi="ar-SA"/>
      </w:rPr>
    </w:lvl>
    <w:lvl w:ilvl="3" w:tplc="12E06A00">
      <w:numFmt w:val="bullet"/>
      <w:lvlText w:val="•"/>
      <w:lvlJc w:val="left"/>
      <w:pPr>
        <w:ind w:left="3239" w:hanging="720"/>
      </w:pPr>
      <w:rPr>
        <w:rFonts w:hint="default"/>
        <w:lang w:val="en-US" w:eastAsia="en-US" w:bidi="ar-SA"/>
      </w:rPr>
    </w:lvl>
    <w:lvl w:ilvl="4" w:tplc="E42E42F6">
      <w:numFmt w:val="bullet"/>
      <w:lvlText w:val="•"/>
      <w:lvlJc w:val="left"/>
      <w:pPr>
        <w:ind w:left="4072" w:hanging="720"/>
      </w:pPr>
      <w:rPr>
        <w:rFonts w:hint="default"/>
        <w:lang w:val="en-US" w:eastAsia="en-US" w:bidi="ar-SA"/>
      </w:rPr>
    </w:lvl>
    <w:lvl w:ilvl="5" w:tplc="66042E22">
      <w:numFmt w:val="bullet"/>
      <w:lvlText w:val="•"/>
      <w:lvlJc w:val="left"/>
      <w:pPr>
        <w:ind w:left="4906" w:hanging="720"/>
      </w:pPr>
      <w:rPr>
        <w:rFonts w:hint="default"/>
        <w:lang w:val="en-US" w:eastAsia="en-US" w:bidi="ar-SA"/>
      </w:rPr>
    </w:lvl>
    <w:lvl w:ilvl="6" w:tplc="33F6C116">
      <w:numFmt w:val="bullet"/>
      <w:lvlText w:val="•"/>
      <w:lvlJc w:val="left"/>
      <w:pPr>
        <w:ind w:left="5739" w:hanging="720"/>
      </w:pPr>
      <w:rPr>
        <w:rFonts w:hint="default"/>
        <w:lang w:val="en-US" w:eastAsia="en-US" w:bidi="ar-SA"/>
      </w:rPr>
    </w:lvl>
    <w:lvl w:ilvl="7" w:tplc="E93E706A">
      <w:numFmt w:val="bullet"/>
      <w:lvlText w:val="•"/>
      <w:lvlJc w:val="left"/>
      <w:pPr>
        <w:ind w:left="6572" w:hanging="720"/>
      </w:pPr>
      <w:rPr>
        <w:rFonts w:hint="default"/>
        <w:lang w:val="en-US" w:eastAsia="en-US" w:bidi="ar-SA"/>
      </w:rPr>
    </w:lvl>
    <w:lvl w:ilvl="8" w:tplc="292E41F6">
      <w:numFmt w:val="bullet"/>
      <w:lvlText w:val="•"/>
      <w:lvlJc w:val="left"/>
      <w:pPr>
        <w:ind w:left="7405" w:hanging="720"/>
      </w:pPr>
      <w:rPr>
        <w:rFonts w:hint="default"/>
        <w:lang w:val="en-US" w:eastAsia="en-US" w:bidi="ar-SA"/>
      </w:rPr>
    </w:lvl>
  </w:abstractNum>
  <w:abstractNum w:abstractNumId="8" w15:restartNumberingAfterBreak="0">
    <w:nsid w:val="62C1428D"/>
    <w:multiLevelType w:val="hybridMultilevel"/>
    <w:tmpl w:val="3F5AE6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3268BF"/>
    <w:multiLevelType w:val="hybridMultilevel"/>
    <w:tmpl w:val="F648B1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5B27EA"/>
    <w:multiLevelType w:val="hybridMultilevel"/>
    <w:tmpl w:val="34F624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11A3507"/>
    <w:multiLevelType w:val="hybridMultilevel"/>
    <w:tmpl w:val="59E06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D1603A5"/>
    <w:multiLevelType w:val="multilevel"/>
    <w:tmpl w:val="2414721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2095154">
    <w:abstractNumId w:val="8"/>
  </w:num>
  <w:num w:numId="2" w16cid:durableId="446504257">
    <w:abstractNumId w:val="6"/>
  </w:num>
  <w:num w:numId="3" w16cid:durableId="1224483102">
    <w:abstractNumId w:val="4"/>
  </w:num>
  <w:num w:numId="4" w16cid:durableId="29696271">
    <w:abstractNumId w:val="10"/>
  </w:num>
  <w:num w:numId="5" w16cid:durableId="236867984">
    <w:abstractNumId w:val="11"/>
  </w:num>
  <w:num w:numId="6" w16cid:durableId="2053923719">
    <w:abstractNumId w:val="0"/>
  </w:num>
  <w:num w:numId="7" w16cid:durableId="2107378767">
    <w:abstractNumId w:val="3"/>
  </w:num>
  <w:num w:numId="8" w16cid:durableId="1546915356">
    <w:abstractNumId w:val="2"/>
  </w:num>
  <w:num w:numId="9" w16cid:durableId="12767858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9481717">
    <w:abstractNumId w:val="1"/>
  </w:num>
  <w:num w:numId="11" w16cid:durableId="1582909671">
    <w:abstractNumId w:val="5"/>
  </w:num>
  <w:num w:numId="12" w16cid:durableId="1082944096">
    <w:abstractNumId w:val="7"/>
  </w:num>
  <w:num w:numId="13" w16cid:durableId="529414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ABC"/>
    <w:rsid w:val="0003353C"/>
    <w:rsid w:val="0008085A"/>
    <w:rsid w:val="00091AE8"/>
    <w:rsid w:val="00092F58"/>
    <w:rsid w:val="000D656F"/>
    <w:rsid w:val="000F253C"/>
    <w:rsid w:val="000F51C4"/>
    <w:rsid w:val="00114E18"/>
    <w:rsid w:val="00125A49"/>
    <w:rsid w:val="00142086"/>
    <w:rsid w:val="00144E61"/>
    <w:rsid w:val="00155FAC"/>
    <w:rsid w:val="00172D9B"/>
    <w:rsid w:val="001C003E"/>
    <w:rsid w:val="001D45ED"/>
    <w:rsid w:val="001E1CF0"/>
    <w:rsid w:val="001E72C4"/>
    <w:rsid w:val="00215ACD"/>
    <w:rsid w:val="00237787"/>
    <w:rsid w:val="00241280"/>
    <w:rsid w:val="00257A8E"/>
    <w:rsid w:val="00291105"/>
    <w:rsid w:val="002A3D35"/>
    <w:rsid w:val="002C191B"/>
    <w:rsid w:val="002D0C6F"/>
    <w:rsid w:val="002D7621"/>
    <w:rsid w:val="002E11A2"/>
    <w:rsid w:val="00300111"/>
    <w:rsid w:val="00313012"/>
    <w:rsid w:val="00332067"/>
    <w:rsid w:val="00385518"/>
    <w:rsid w:val="00397925"/>
    <w:rsid w:val="003E1ABF"/>
    <w:rsid w:val="00423F8E"/>
    <w:rsid w:val="004351BF"/>
    <w:rsid w:val="00455DA5"/>
    <w:rsid w:val="00472743"/>
    <w:rsid w:val="004812B7"/>
    <w:rsid w:val="004920E8"/>
    <w:rsid w:val="004C35D8"/>
    <w:rsid w:val="004D26A0"/>
    <w:rsid w:val="004F12A7"/>
    <w:rsid w:val="004F3FFE"/>
    <w:rsid w:val="00502767"/>
    <w:rsid w:val="005127B5"/>
    <w:rsid w:val="0054151C"/>
    <w:rsid w:val="005B7CB6"/>
    <w:rsid w:val="005C49A0"/>
    <w:rsid w:val="005C59FA"/>
    <w:rsid w:val="005D226D"/>
    <w:rsid w:val="005E2E00"/>
    <w:rsid w:val="0065036B"/>
    <w:rsid w:val="006536A4"/>
    <w:rsid w:val="00653BBF"/>
    <w:rsid w:val="006932C3"/>
    <w:rsid w:val="00696F1B"/>
    <w:rsid w:val="006A0C73"/>
    <w:rsid w:val="006A77AB"/>
    <w:rsid w:val="006B1757"/>
    <w:rsid w:val="006D593C"/>
    <w:rsid w:val="006D6631"/>
    <w:rsid w:val="00724862"/>
    <w:rsid w:val="00743A59"/>
    <w:rsid w:val="007562EA"/>
    <w:rsid w:val="0078500C"/>
    <w:rsid w:val="007C7ACF"/>
    <w:rsid w:val="0081512A"/>
    <w:rsid w:val="008571A6"/>
    <w:rsid w:val="008629BE"/>
    <w:rsid w:val="00864ED7"/>
    <w:rsid w:val="00873406"/>
    <w:rsid w:val="0089701C"/>
    <w:rsid w:val="008A7444"/>
    <w:rsid w:val="008C3C81"/>
    <w:rsid w:val="008D33E6"/>
    <w:rsid w:val="008D6E21"/>
    <w:rsid w:val="008E7AD8"/>
    <w:rsid w:val="00905E78"/>
    <w:rsid w:val="0091447E"/>
    <w:rsid w:val="009458CB"/>
    <w:rsid w:val="00957E09"/>
    <w:rsid w:val="00975072"/>
    <w:rsid w:val="00982745"/>
    <w:rsid w:val="0098430F"/>
    <w:rsid w:val="009946AF"/>
    <w:rsid w:val="0099617F"/>
    <w:rsid w:val="009A00EF"/>
    <w:rsid w:val="009A17A2"/>
    <w:rsid w:val="009A7590"/>
    <w:rsid w:val="009C63F3"/>
    <w:rsid w:val="009D4080"/>
    <w:rsid w:val="009F01BB"/>
    <w:rsid w:val="009F0661"/>
    <w:rsid w:val="009F7051"/>
    <w:rsid w:val="00A12E78"/>
    <w:rsid w:val="00A22808"/>
    <w:rsid w:val="00A24D24"/>
    <w:rsid w:val="00A50650"/>
    <w:rsid w:val="00A60B50"/>
    <w:rsid w:val="00A802A9"/>
    <w:rsid w:val="00A82086"/>
    <w:rsid w:val="00AA6B0C"/>
    <w:rsid w:val="00AB2CF7"/>
    <w:rsid w:val="00AB4FFD"/>
    <w:rsid w:val="00AC215D"/>
    <w:rsid w:val="00AD2C48"/>
    <w:rsid w:val="00B23458"/>
    <w:rsid w:val="00B649BE"/>
    <w:rsid w:val="00B671EC"/>
    <w:rsid w:val="00B76842"/>
    <w:rsid w:val="00B773FD"/>
    <w:rsid w:val="00B9133D"/>
    <w:rsid w:val="00BA63F5"/>
    <w:rsid w:val="00BD38E7"/>
    <w:rsid w:val="00BE7C91"/>
    <w:rsid w:val="00BF59B9"/>
    <w:rsid w:val="00C650BB"/>
    <w:rsid w:val="00C66461"/>
    <w:rsid w:val="00C73450"/>
    <w:rsid w:val="00C90664"/>
    <w:rsid w:val="00CB54F3"/>
    <w:rsid w:val="00CD1944"/>
    <w:rsid w:val="00CD48E8"/>
    <w:rsid w:val="00CD4FFB"/>
    <w:rsid w:val="00CE2ED8"/>
    <w:rsid w:val="00D32EA9"/>
    <w:rsid w:val="00D34980"/>
    <w:rsid w:val="00D44EB6"/>
    <w:rsid w:val="00D45D32"/>
    <w:rsid w:val="00D87080"/>
    <w:rsid w:val="00DA3297"/>
    <w:rsid w:val="00DA5ECD"/>
    <w:rsid w:val="00DA7F79"/>
    <w:rsid w:val="00DD4AA6"/>
    <w:rsid w:val="00DF3E4A"/>
    <w:rsid w:val="00E0086F"/>
    <w:rsid w:val="00E17795"/>
    <w:rsid w:val="00E61ABC"/>
    <w:rsid w:val="00E66037"/>
    <w:rsid w:val="00E73D07"/>
    <w:rsid w:val="00E74D9D"/>
    <w:rsid w:val="00E751A7"/>
    <w:rsid w:val="00E75707"/>
    <w:rsid w:val="00E77423"/>
    <w:rsid w:val="00EB3D5C"/>
    <w:rsid w:val="00ED4997"/>
    <w:rsid w:val="00F0754C"/>
    <w:rsid w:val="00F328BD"/>
    <w:rsid w:val="00F60BBF"/>
    <w:rsid w:val="00F7002A"/>
    <w:rsid w:val="00F72E4D"/>
    <w:rsid w:val="00F779D0"/>
    <w:rsid w:val="00F817A3"/>
    <w:rsid w:val="00F822AD"/>
    <w:rsid w:val="00FA4A79"/>
    <w:rsid w:val="00FB50C5"/>
    <w:rsid w:val="00FD57E2"/>
    <w:rsid w:val="00FD6C54"/>
    <w:rsid w:val="00FE0168"/>
    <w:rsid w:val="00FF55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F640"/>
  <w15:docId w15:val="{5F56685A-7932-4F1E-9F52-F174CA6D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ABC"/>
    <w:rPr>
      <w:rFonts w:ascii="Tahoma" w:hAnsi="Tahoma" w:cs="Tahoma"/>
      <w:sz w:val="16"/>
      <w:szCs w:val="16"/>
    </w:rPr>
  </w:style>
  <w:style w:type="character" w:styleId="Hyperlink">
    <w:name w:val="Hyperlink"/>
    <w:basedOn w:val="DefaultParagraphFont"/>
    <w:uiPriority w:val="99"/>
    <w:unhideWhenUsed/>
    <w:rsid w:val="00FB50C5"/>
    <w:rPr>
      <w:color w:val="0000FF" w:themeColor="hyperlink"/>
      <w:u w:val="single"/>
    </w:rPr>
  </w:style>
  <w:style w:type="paragraph" w:styleId="ListParagraph">
    <w:name w:val="List Paragraph"/>
    <w:basedOn w:val="Normal"/>
    <w:link w:val="ListParagraphChar"/>
    <w:uiPriority w:val="34"/>
    <w:qFormat/>
    <w:rsid w:val="00FB50C5"/>
    <w:pPr>
      <w:ind w:left="720"/>
      <w:contextualSpacing/>
    </w:pPr>
  </w:style>
  <w:style w:type="character" w:customStyle="1" w:styleId="ListParagraphChar">
    <w:name w:val="List Paragraph Char"/>
    <w:link w:val="ListParagraph"/>
    <w:uiPriority w:val="34"/>
    <w:locked/>
    <w:rsid w:val="00FB50C5"/>
    <w:rPr>
      <w:rFonts w:eastAsia="Times New Roman" w:cs="Times New Roman"/>
      <w:lang w:val="en-US"/>
    </w:rPr>
  </w:style>
  <w:style w:type="paragraph" w:styleId="Footer">
    <w:name w:val="footer"/>
    <w:basedOn w:val="Normal"/>
    <w:link w:val="FooterChar"/>
    <w:uiPriority w:val="99"/>
    <w:unhideWhenUsed/>
    <w:qFormat/>
    <w:rsid w:val="00E17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795"/>
    <w:rPr>
      <w:rFonts w:eastAsia="Times New Roman" w:cs="Times New Roman"/>
      <w:lang w:val="en-US"/>
    </w:rPr>
  </w:style>
  <w:style w:type="paragraph" w:styleId="Header">
    <w:name w:val="header"/>
    <w:basedOn w:val="Normal"/>
    <w:link w:val="HeaderChar"/>
    <w:uiPriority w:val="99"/>
    <w:unhideWhenUsed/>
    <w:qFormat/>
    <w:rsid w:val="00E17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795"/>
    <w:rPr>
      <w:rFonts w:eastAsia="Times New Roman" w:cs="Times New Roman"/>
      <w:lang w:val="en-US"/>
    </w:rPr>
  </w:style>
  <w:style w:type="paragraph" w:styleId="Bibliography">
    <w:name w:val="Bibliography"/>
    <w:basedOn w:val="Normal"/>
    <w:next w:val="Normal"/>
    <w:uiPriority w:val="37"/>
    <w:unhideWhenUsed/>
    <w:rsid w:val="00BF59B9"/>
  </w:style>
  <w:style w:type="table" w:styleId="TableGrid">
    <w:name w:val="Table Grid"/>
    <w:basedOn w:val="TableNormal"/>
    <w:uiPriority w:val="59"/>
    <w:rsid w:val="00BA63F5"/>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63F5"/>
    <w:pPr>
      <w:spacing w:line="240" w:lineRule="auto"/>
    </w:pPr>
    <w:rPr>
      <w:b/>
      <w:bCs/>
      <w:color w:val="4F81BD" w:themeColor="accent1"/>
      <w:sz w:val="18"/>
      <w:szCs w:val="18"/>
    </w:rPr>
  </w:style>
  <w:style w:type="character" w:customStyle="1" w:styleId="NoSpacingChar">
    <w:name w:val="No Spacing Char"/>
    <w:link w:val="NoSpacing"/>
    <w:rsid w:val="009A17A2"/>
    <w:rPr>
      <w:rFonts w:ascii="Calibri" w:eastAsia="Calibri" w:hAnsi="Calibri" w:cs="Times New Roman"/>
    </w:rPr>
  </w:style>
  <w:style w:type="paragraph" w:styleId="NoSpacing">
    <w:name w:val="No Spacing"/>
    <w:link w:val="NoSpacingChar"/>
    <w:qFormat/>
    <w:rsid w:val="009A17A2"/>
    <w:pPr>
      <w:spacing w:after="0" w:line="240" w:lineRule="auto"/>
    </w:pPr>
    <w:rPr>
      <w:rFonts w:ascii="Calibri" w:eastAsia="Calibri" w:hAnsi="Calibri" w:cs="Times New Roman"/>
    </w:rPr>
  </w:style>
  <w:style w:type="paragraph" w:customStyle="1" w:styleId="13Institusi">
    <w:name w:val="1.3 Institusi"/>
    <w:autoRedefine/>
    <w:qFormat/>
    <w:rsid w:val="00E74D9D"/>
    <w:pPr>
      <w:spacing w:after="0"/>
      <w:jc w:val="center"/>
    </w:pPr>
    <w:rPr>
      <w:rFonts w:ascii="Cambria" w:hAnsi="Cambria"/>
      <w:bCs/>
      <w:sz w:val="20"/>
      <w:szCs w:val="28"/>
    </w:rPr>
  </w:style>
  <w:style w:type="paragraph" w:customStyle="1" w:styleId="12Penulis">
    <w:name w:val="1.2 Penulis"/>
    <w:basedOn w:val="Normal"/>
    <w:link w:val="12PenulisChar"/>
    <w:qFormat/>
    <w:rsid w:val="00E74D9D"/>
    <w:pPr>
      <w:widowControl w:val="0"/>
      <w:autoSpaceDE w:val="0"/>
      <w:autoSpaceDN w:val="0"/>
      <w:adjustRightInd w:val="0"/>
      <w:spacing w:before="240" w:after="0" w:line="240" w:lineRule="auto"/>
      <w:ind w:right="-34"/>
      <w:jc w:val="center"/>
    </w:pPr>
    <w:rPr>
      <w:rFonts w:ascii="Cambria" w:hAnsi="Cambria"/>
      <w:b/>
      <w:bCs/>
      <w:sz w:val="24"/>
      <w:szCs w:val="28"/>
    </w:rPr>
  </w:style>
  <w:style w:type="character" w:customStyle="1" w:styleId="12PenulisChar">
    <w:name w:val="1.2 Penulis Char"/>
    <w:basedOn w:val="DefaultParagraphFont"/>
    <w:link w:val="12Penulis"/>
    <w:rsid w:val="00E74D9D"/>
    <w:rPr>
      <w:rFonts w:ascii="Cambria" w:hAnsi="Cambria"/>
      <w:b/>
      <w:bCs/>
      <w:sz w:val="24"/>
      <w:szCs w:val="28"/>
    </w:rPr>
  </w:style>
  <w:style w:type="paragraph" w:customStyle="1" w:styleId="14E-mail">
    <w:name w:val="1.4 E-mail"/>
    <w:autoRedefine/>
    <w:qFormat/>
    <w:rsid w:val="00E74D9D"/>
    <w:pPr>
      <w:spacing w:after="240" w:line="240" w:lineRule="auto"/>
      <w:jc w:val="center"/>
    </w:pPr>
    <w:rPr>
      <w:rFonts w:asciiTheme="majorHAnsi" w:hAnsiTheme="majorHAnsi" w:cs="Times New Roman"/>
      <w:sz w:val="20"/>
      <w:szCs w:val="20"/>
    </w:rPr>
  </w:style>
  <w:style w:type="character" w:customStyle="1" w:styleId="15">
    <w:name w:val="15"/>
    <w:rsid w:val="00E74D9D"/>
    <w:rPr>
      <w:rFonts w:ascii="Calibri" w:hAnsi="Calibri" w:cs="Calibri" w:hint="default"/>
      <w:color w:val="0000FF"/>
      <w:u w:val="single"/>
    </w:rPr>
  </w:style>
  <w:style w:type="paragraph" w:customStyle="1" w:styleId="16aJudulAbstrak">
    <w:name w:val="1.6a Judul Abstrak"/>
    <w:qFormat/>
    <w:rsid w:val="00144E61"/>
    <w:pPr>
      <w:spacing w:before="240" w:after="0" w:line="240" w:lineRule="auto"/>
      <w:jc w:val="center"/>
    </w:pPr>
    <w:rPr>
      <w:rFonts w:ascii="Cambria" w:hAnsi="Cambria"/>
      <w:b/>
      <w:szCs w:val="24"/>
    </w:rPr>
  </w:style>
  <w:style w:type="paragraph" w:customStyle="1" w:styleId="16bIsiAbstrak">
    <w:name w:val="1.6b Isi Abstrak"/>
    <w:basedOn w:val="Normal"/>
    <w:qFormat/>
    <w:rsid w:val="00144E61"/>
    <w:pPr>
      <w:widowControl w:val="0"/>
      <w:autoSpaceDE w:val="0"/>
      <w:autoSpaceDN w:val="0"/>
      <w:adjustRightInd w:val="0"/>
      <w:spacing w:after="80" w:line="240" w:lineRule="auto"/>
      <w:jc w:val="both"/>
    </w:pPr>
    <w:rPr>
      <w:rFonts w:ascii="Cambria" w:hAnsi="Cambria"/>
    </w:rPr>
  </w:style>
  <w:style w:type="paragraph" w:customStyle="1" w:styleId="16cKataKunci">
    <w:name w:val="1.6c Kata Kunci"/>
    <w:basedOn w:val="Normal"/>
    <w:autoRedefine/>
    <w:qFormat/>
    <w:rsid w:val="00144E61"/>
    <w:pPr>
      <w:widowControl w:val="0"/>
      <w:autoSpaceDE w:val="0"/>
      <w:autoSpaceDN w:val="0"/>
      <w:adjustRightInd w:val="0"/>
      <w:spacing w:after="240" w:line="240" w:lineRule="auto"/>
      <w:ind w:right="-34"/>
    </w:pPr>
    <w:rPr>
      <w:rFonts w:ascii="Cambria" w:hAnsi="Cambria"/>
    </w:rPr>
  </w:style>
  <w:style w:type="paragraph" w:customStyle="1" w:styleId="22aIsiParagraf">
    <w:name w:val="2.2a Isi Paragraf"/>
    <w:basedOn w:val="Normal"/>
    <w:qFormat/>
    <w:rsid w:val="00144E61"/>
    <w:pPr>
      <w:spacing w:after="80"/>
      <w:ind w:firstLine="360"/>
      <w:jc w:val="both"/>
    </w:pPr>
    <w:rPr>
      <w:rFonts w:ascii="Cambria" w:hAnsi="Cambria"/>
      <w:sz w:val="24"/>
    </w:rPr>
  </w:style>
  <w:style w:type="paragraph" w:customStyle="1" w:styleId="23aKutipanLangsung">
    <w:name w:val="2.3a Kutipan Langsung"/>
    <w:basedOn w:val="Normal"/>
    <w:qFormat/>
    <w:rsid w:val="008A7444"/>
    <w:pPr>
      <w:widowControl w:val="0"/>
      <w:autoSpaceDE w:val="0"/>
      <w:autoSpaceDN w:val="0"/>
      <w:adjustRightInd w:val="0"/>
      <w:spacing w:after="180" w:line="240" w:lineRule="auto"/>
      <w:ind w:left="357" w:right="357"/>
      <w:jc w:val="both"/>
    </w:pPr>
    <w:rPr>
      <w:rFonts w:ascii="Cambria" w:hAnsi="Cambria"/>
      <w:sz w:val="23"/>
      <w:szCs w:val="24"/>
    </w:rPr>
  </w:style>
  <w:style w:type="paragraph" w:customStyle="1" w:styleId="21aSubjudul1Pendahuluandst">
    <w:name w:val="2.1a Subjudul 1 (Pendahuluan dst)"/>
    <w:basedOn w:val="Normal"/>
    <w:qFormat/>
    <w:rsid w:val="00291105"/>
    <w:pPr>
      <w:widowControl w:val="0"/>
      <w:numPr>
        <w:numId w:val="10"/>
      </w:numPr>
      <w:autoSpaceDE w:val="0"/>
      <w:autoSpaceDN w:val="0"/>
      <w:adjustRightInd w:val="0"/>
      <w:spacing w:before="360" w:after="0" w:line="240" w:lineRule="auto"/>
      <w:ind w:left="142" w:hanging="142"/>
      <w:jc w:val="center"/>
    </w:pPr>
    <w:rPr>
      <w:rFonts w:ascii="Cambria" w:hAnsi="Cambria"/>
      <w:b/>
      <w:bCs/>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8607">
      <w:bodyDiv w:val="1"/>
      <w:marLeft w:val="0"/>
      <w:marRight w:val="0"/>
      <w:marTop w:val="0"/>
      <w:marBottom w:val="0"/>
      <w:divBdr>
        <w:top w:val="none" w:sz="0" w:space="0" w:color="auto"/>
        <w:left w:val="none" w:sz="0" w:space="0" w:color="auto"/>
        <w:bottom w:val="none" w:sz="0" w:space="0" w:color="auto"/>
        <w:right w:val="none" w:sz="0" w:space="0" w:color="auto"/>
      </w:divBdr>
    </w:div>
    <w:div w:id="822890621">
      <w:bodyDiv w:val="1"/>
      <w:marLeft w:val="0"/>
      <w:marRight w:val="0"/>
      <w:marTop w:val="0"/>
      <w:marBottom w:val="0"/>
      <w:divBdr>
        <w:top w:val="none" w:sz="0" w:space="0" w:color="auto"/>
        <w:left w:val="none" w:sz="0" w:space="0" w:color="auto"/>
        <w:bottom w:val="none" w:sz="0" w:space="0" w:color="auto"/>
        <w:right w:val="none" w:sz="0" w:space="0" w:color="auto"/>
      </w:divBdr>
    </w:div>
    <w:div w:id="1015956726">
      <w:bodyDiv w:val="1"/>
      <w:marLeft w:val="0"/>
      <w:marRight w:val="0"/>
      <w:marTop w:val="0"/>
      <w:marBottom w:val="0"/>
      <w:divBdr>
        <w:top w:val="none" w:sz="0" w:space="0" w:color="auto"/>
        <w:left w:val="none" w:sz="0" w:space="0" w:color="auto"/>
        <w:bottom w:val="none" w:sz="0" w:space="0" w:color="auto"/>
        <w:right w:val="none" w:sz="0" w:space="0" w:color="auto"/>
      </w:divBdr>
    </w:div>
    <w:div w:id="1120342793">
      <w:bodyDiv w:val="1"/>
      <w:marLeft w:val="0"/>
      <w:marRight w:val="0"/>
      <w:marTop w:val="0"/>
      <w:marBottom w:val="0"/>
      <w:divBdr>
        <w:top w:val="none" w:sz="0" w:space="0" w:color="auto"/>
        <w:left w:val="none" w:sz="0" w:space="0" w:color="auto"/>
        <w:bottom w:val="none" w:sz="0" w:space="0" w:color="auto"/>
        <w:right w:val="none" w:sz="0" w:space="0" w:color="auto"/>
      </w:divBdr>
    </w:div>
    <w:div w:id="1735816793">
      <w:bodyDiv w:val="1"/>
      <w:marLeft w:val="0"/>
      <w:marRight w:val="0"/>
      <w:marTop w:val="0"/>
      <w:marBottom w:val="0"/>
      <w:divBdr>
        <w:top w:val="none" w:sz="0" w:space="0" w:color="auto"/>
        <w:left w:val="none" w:sz="0" w:space="0" w:color="auto"/>
        <w:bottom w:val="none" w:sz="0" w:space="0" w:color="auto"/>
        <w:right w:val="none" w:sz="0" w:space="0" w:color="auto"/>
      </w:divBdr>
    </w:div>
    <w:div w:id="1740177833">
      <w:bodyDiv w:val="1"/>
      <w:marLeft w:val="0"/>
      <w:marRight w:val="0"/>
      <w:marTop w:val="0"/>
      <w:marBottom w:val="0"/>
      <w:divBdr>
        <w:top w:val="none" w:sz="0" w:space="0" w:color="auto"/>
        <w:left w:val="none" w:sz="0" w:space="0" w:color="auto"/>
        <w:bottom w:val="none" w:sz="0" w:space="0" w:color="auto"/>
        <w:right w:val="none" w:sz="0" w:space="0" w:color="auto"/>
      </w:divBdr>
    </w:div>
    <w:div w:id="21127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yavalentina147@gmail.com" TargetMode="External"/><Relationship Id="rId13" Type="http://schemas.openxmlformats.org/officeDocument/2006/relationships/hyperlink" Target="https://doi.org/10.31949/jb.v4i2.47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forikes-ejournal.com/index.php/S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ejournal.uika-bogor.ac.id/index.php/Hearty/issue/archiv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Alm09</b:Tag>
    <b:SourceType>Book</b:SourceType>
    <b:Guid>{E197A909-DA82-464E-81BE-4F12CD42000D}</b:Guid>
    <b:Author>
      <b:Author>
        <b:NameList>
          <b:Person>
            <b:Last>Almatsier</b:Last>
            <b:First>Sunita</b:First>
          </b:Person>
        </b:NameList>
      </b:Author>
    </b:Author>
    <b:Title>Prinsip Dasar Ilmu Gizi</b:Title>
    <b:Year>2009</b:Year>
    <b:City>Jakarta</b:City>
    <b:Publisher>PT Gramedia Pustaka Utama</b:Publisher>
    <b:RefOrder>3</b:RefOrder>
  </b:Source>
  <b:Source>
    <b:Tag>Adr12</b:Tag>
    <b:SourceType>Book</b:SourceType>
    <b:Guid>{CD7A7221-12BB-4AED-B6B2-47172B051AF9}</b:Guid>
    <b:Author>
      <b:Author>
        <b:NameList>
          <b:Person>
            <b:Last>Adriani</b:Last>
            <b:First>Merryana</b:First>
          </b:Person>
          <b:Person>
            <b:Last>Wirjatmadi</b:Last>
            <b:First>Bambang</b:First>
          </b:Person>
        </b:NameList>
      </b:Author>
    </b:Author>
    <b:Title>Peranan Gizi Dalam Siklus Kehidupan</b:Title>
    <b:Year>2012</b:Year>
    <b:City>Jakarta</b:City>
    <b:Publisher>Kencana</b:Publisher>
    <b:RefOrder>4</b:RefOrder>
  </b:Source>
  <b:Source>
    <b:Tag>Ari09</b:Tag>
    <b:SourceType>Book</b:SourceType>
    <b:Guid>{457FDA39-8197-402A-8317-A3F15D0E447D}</b:Guid>
    <b:Author>
      <b:Author>
        <b:NameList>
          <b:Person>
            <b:Last>Arisman</b:Last>
          </b:Person>
        </b:NameList>
      </b:Author>
    </b:Author>
    <b:Title>Buku ajar ilmu gizi dalam daur kehidupan</b:Title>
    <b:Year>2009</b:Year>
    <b:City>Jakarta</b:City>
    <b:Publisher>ECG</b:Publisher>
    <b:RefOrder>5</b:RefOrder>
  </b:Source>
  <b:Source>
    <b:Tag>Pul14</b:Tag>
    <b:SourceType>Report</b:SourceType>
    <b:Guid>{EA419BC6-36B9-4E75-A395-9AA22F09A965}</b:Guid>
    <b:Author>
      <b:Author>
        <b:NameList>
          <b:Person>
            <b:Last>Puli</b:Last>
            <b:First>Tenri</b:First>
          </b:Person>
          <b:Person>
            <b:Last>Thaha</b:Last>
            <b:First>R.</b:First>
            <b:Middle>Razak</b:Middle>
          </b:Person>
          <b:Person>
            <b:Last>Syam</b:Last>
            <b:First>Aminuddin</b:First>
          </b:Person>
        </b:NameList>
      </b:Author>
    </b:Author>
    <b:Title>Hubungan Sosial Ekonomi dengan Kekurangan Energi Kronik (KEK) pada Wanita Prakonsepsi di Kota Makasar</b:Title>
    <b:Year>2014</b:Year>
    <b:Publisher>Universitas Hasanuddin</b:Publisher>
    <b:City>Makasar</b:City>
    <b:ThesisType>Jurnal</b:ThesisType>
    <b:RefOrder>1</b:RefOrder>
  </b:Source>
  <b:Source>
    <b:Tag>Sof17</b:Tag>
    <b:SourceType>Report</b:SourceType>
    <b:Guid>{AF64F12A-1A72-4FF2-86B1-31E602BDD1D3}</b:Guid>
    <b:Author>
      <b:Author>
        <b:NameList>
          <b:Person>
            <b:Last>Sofiyani</b:Last>
            <b:First>Fivi</b:First>
            <b:Middle>Arnia</b:Middle>
          </b:Person>
        </b:NameList>
      </b:Author>
    </b:Author>
    <b:Title>Gambaran Status Gizi Remaja Berdasarkan Indeks Massa Tubuh dan Lingkar Lengan Atas di Pondok Pesantren Al - Islam Kota Yogyakarta Tahun 2017</b:Title>
    <b:Year>2017</b:Year>
    <b:Publisher>STIK Jenderal Ahmad Yani</b:Publisher>
    <b:City>Yogyakarta</b:City>
    <b:ThesisType>Skripsi</b:ThesisType>
    <b:RefOrder>6</b:RefOrder>
  </b:Source>
  <b:Source>
    <b:Tag>Ris18</b:Tag>
    <b:SourceType>Book</b:SourceType>
    <b:Guid>{0D3BC9D6-EAFA-4C07-8BAB-198EA1A6B5B6}</b:Guid>
    <b:Author>
      <b:Author>
        <b:NameList>
          <b:Person>
            <b:Last>Riskesdas</b:Last>
          </b:Person>
        </b:NameList>
      </b:Author>
    </b:Author>
    <b:Title>Hasil Utama Riskesdas 2018</b:Title>
    <b:Year>2018</b:Year>
    <b:Publisher>Kemenkes RI</b:Publisher>
    <b:RefOrder>10</b:RefOrder>
  </b:Source>
  <b:Source>
    <b:Tag>Put16</b:Tag>
    <b:SourceType>Report</b:SourceType>
    <b:Guid>{DAAF396E-D0A8-40F7-BECA-718155C989C8}</b:Guid>
    <b:Author>
      <b:Author>
        <b:NameList>
          <b:Person>
            <b:Last>Putri</b:Last>
          </b:Person>
        </b:NameList>
      </b:Author>
    </b:Author>
    <b:Title>Asupan Makan terhadap Kadar Trigliserida pada Mahasiswa Obesitas di Fakultas Kedokteran Universitas Lampung</b:Title>
    <b:Year>2016</b:Year>
    <b:Publisher>Universitas Lampung</b:Publisher>
    <b:City>Lampung</b:City>
    <b:ThesisType>Skripsi</b:ThesisType>
    <b:RefOrder>11</b:RefOrder>
  </b:Source>
  <b:Source>
    <b:Tag>Ind13</b:Tag>
    <b:SourceType>Book</b:SourceType>
    <b:Guid>{D892A2EA-ACE8-4901-9A09-725BA8BFD87A}</b:Guid>
    <b:Author>
      <b:Author>
        <b:NameList>
          <b:Person>
            <b:Last>Indra</b:Last>
            <b:First>Dewi</b:First>
          </b:Person>
          <b:Person>
            <b:Last>Wulandari</b:Last>
            <b:First>Yettik</b:First>
          </b:Person>
        </b:NameList>
      </b:Author>
    </b:Author>
    <b:Title>Prinsip - Prinsip Dasar Ahli Gizi</b:Title>
    <b:Year>2013</b:Year>
    <b:City>Jakarta</b:City>
    <b:Publisher>Dunia Cerdas</b:Publisher>
    <b:RefOrder>9</b:RefOrder>
  </b:Source>
  <b:Source>
    <b:Tag>Sug14</b:Tag>
    <b:SourceType>Book</b:SourceType>
    <b:Guid>{B4A3AA78-43D9-49BA-9B4B-BE83CBEE4248}</b:Guid>
    <b:Author>
      <b:Author>
        <b:NameList>
          <b:Person>
            <b:Last>Sugiyono</b:Last>
          </b:Person>
        </b:NameList>
      </b:Author>
    </b:Author>
    <b:Title>Metode Penelitian Kuantitatif Kualitatif dan R&amp;D</b:Title>
    <b:Year>2014</b:Year>
    <b:City>Jakarta</b:City>
    <b:Publisher>Alfabeta</b:Publisher>
    <b:RefOrder>14</b:RefOrder>
  </b:Source>
  <b:Source>
    <b:Tag>Yus14</b:Tag>
    <b:SourceType>Book</b:SourceType>
    <b:Guid>{97AF59E7-701C-475E-92E5-EE88E1F7A639}</b:Guid>
    <b:Author>
      <b:Author>
        <b:NameList>
          <b:Person>
            <b:Last>Yusuf</b:Last>
            <b:First>Muri</b:First>
          </b:Person>
        </b:NameList>
      </b:Author>
    </b:Author>
    <b:Title>Metode Penelitian Kuantitatif, Kualitatif &amp; Penelitian Gabungan</b:Title>
    <b:Year>2014</b:Year>
    <b:City>Jakarta</b:City>
    <b:Publisher>Kencana</b:Publisher>
    <b:RefOrder>15</b:RefOrder>
  </b:Source>
  <b:Source>
    <b:Tag>Oct17</b:Tag>
    <b:SourceType>Report</b:SourceType>
    <b:Guid>{3FD65715-18A2-4DE1-83E6-B7286C3DF65A}</b:Guid>
    <b:Author>
      <b:Author>
        <b:NameList>
          <b:Person>
            <b:Last>Octaviani</b:Last>
            <b:First>Sheila</b:First>
          </b:Person>
        </b:NameList>
      </b:Author>
    </b:Author>
    <b:Title>Hubungan Indeks Massa Tubuh dan Lingkar Lengan Atas, Lingkar Pinggang, dan Lingkar Panggul dan Status Gizi Mahasiswa FK USU</b:Title>
    <b:Year>2017</b:Year>
    <b:City>Sumatera Utara</b:City>
    <b:Publisher>Universitas Sumatera Utara</b:Publisher>
    <b:ThesisType>Skripsi</b:ThesisType>
    <b:RefOrder>16</b:RefOrder>
  </b:Source>
  <b:Source>
    <b:Tag>Izw17</b:Tag>
    <b:SourceType>Book</b:SourceType>
    <b:Guid>{A4610F82-DC0A-4688-AA79-5564FA8A50F4}</b:Guid>
    <b:Author>
      <b:Author>
        <b:NameList>
          <b:Person>
            <b:Last>Izwardy</b:Last>
            <b:First>Doddy</b:First>
          </b:Person>
        </b:NameList>
      </b:Author>
    </b:Author>
    <b:Title>Buku Saku Pemantauan Status Gizi</b:Title>
    <b:Year>2017</b:Year>
    <b:Publisher>Kemenkes RI</b:Publisher>
    <b:City>Jakarta</b:City>
    <b:RefOrder>17</b:RefOrder>
  </b:Source>
  <b:Source>
    <b:Tag>Ang18</b:Tag>
    <b:SourceType>Report</b:SourceType>
    <b:Guid>{47F16073-63CF-4DFC-8A61-5CBC2F122C0A}</b:Guid>
    <b:Author>
      <b:Author>
        <b:NameList>
          <b:Person>
            <b:Last>Angraini</b:Last>
            <b:First>DI</b:First>
          </b:Person>
        </b:NameList>
      </b:Author>
    </b:Author>
    <b:Title>Hubungan Faktor Keluarga dengan kejadian KEK pada Wanita Usia Subur di Kecamatan Terbanggi Besar</b:Title>
    <b:Year>2018</b:Year>
    <b:Publisher>Universitas Lampung</b:Publisher>
    <b:City>Lampung</b:City>
    <b:ThesisType>Jurnal</b:ThesisType>
    <b:RefOrder>2</b:RefOrder>
  </b:Source>
  <b:Source>
    <b:Tag>Rah17</b:Tag>
    <b:SourceType>Report</b:SourceType>
    <b:Guid>{709105CC-6079-47FD-BEFA-24EDECB1B293}</b:Guid>
    <b:Author>
      <b:Author>
        <b:NameList>
          <b:Person>
            <b:Last>Rahayu</b:Last>
            <b:First>Ika</b:First>
            <b:Middle>Putri</b:Middle>
          </b:Person>
        </b:NameList>
      </b:Author>
    </b:Author>
    <b:Title>Hubungan Umur dan Graviditas dengan Kejadian Kurang Energi kronik (KEK) pada Ibu Hamil di Puskesmas Lepo – Lepo Kota Kendari Provinsi Sulawesi tenggara Tahun 2016</b:Title>
    <b:Year>2017</b:Year>
    <b:Publisher>Politeknik Kesehatan Kendari</b:Publisher>
    <b:City>Kendari</b:City>
    <b:ThesisType>Skripsi</b:ThesisType>
    <b:RefOrder>18</b:RefOrder>
  </b:Source>
  <b:Source>
    <b:Tag>Gib05</b:Tag>
    <b:SourceType>Report</b:SourceType>
    <b:Guid>{55652696-9DD8-4BA8-855D-BA3A0E521FBF}</b:Guid>
    <b:Author>
      <b:Author>
        <b:NameList>
          <b:Person>
            <b:Last>Gibson</b:Last>
            <b:First>Rosalind</b:First>
          </b:Person>
        </b:NameList>
      </b:Author>
    </b:Author>
    <b:Title>Principles of Nutrional Assessment Second Edition</b:Title>
    <b:Year>2005</b:Year>
    <b:Publisher>Oxford University Press</b:Publisher>
    <b:City>New York</b:City>
    <b:RefOrder>7</b:RefOrder>
  </b:Source>
  <b:Source>
    <b:Tag>Din16</b:Tag>
    <b:SourceType>Book</b:SourceType>
    <b:Guid>{15E473E1-8CF7-47E0-B734-776339B2877F}</b:Guid>
    <b:Author>
      <b:Author>
        <b:NameList>
          <b:Person>
            <b:Last>Dinkes</b:Last>
          </b:Person>
        </b:NameList>
      </b:Author>
    </b:Author>
    <b:Title>Profil Kesehatan Provinsi Jawa Barat</b:Title>
    <b:Year>2016</b:Year>
    <b:Publisher>Dinas Kesehatan Provinsi Jawa Barat</b:Publisher>
    <b:RefOrder>19</b:RefOrder>
  </b:Source>
  <b:Source>
    <b:Tag>Tha17</b:Tag>
    <b:SourceType>Book</b:SourceType>
    <b:Guid>{1BF9D8B7-F35A-4C22-BCA5-789112369E8B}</b:Guid>
    <b:Author>
      <b:Author>
        <b:NameList>
          <b:Person>
            <b:Last>Harjatmo</b:Last>
            <b:First>Titus</b:First>
            <b:Middle>Priyo</b:Middle>
          </b:Person>
          <b:Person>
            <b:Last>Par'i</b:Last>
            <b:First>Holil</b:First>
            <b:Middle>M</b:Middle>
          </b:Person>
          <b:Person>
            <b:Last>Wiyono</b:Last>
            <b:First>Sugeng</b:First>
          </b:Person>
        </b:NameList>
      </b:Author>
    </b:Author>
    <b:Title>Penilaian Status Gizi</b:Title>
    <b:Year>2017</b:Year>
    <b:Publisher>Kemenkes RI</b:Publisher>
    <b:City>Jakarta</b:City>
    <b:RefOrder>8</b:RefOrder>
  </b:Source>
  <b:Source>
    <b:Tag>Mus17</b:Tag>
    <b:SourceType>Report</b:SourceType>
    <b:Guid>{C80BAED8-9EDD-4B57-835D-68BE835BBBD7}</b:Guid>
    <b:Author>
      <b:Author>
        <b:NameList>
          <b:Person>
            <b:Last>Muslimah</b:Last>
            <b:First>Ana</b:First>
            <b:Middle>Rofiatun</b:Middle>
          </b:Person>
        </b:NameList>
      </b:Author>
    </b:Author>
    <b:Title>Hubungan Indeks Massa Tubuh dengan Lingkar Lengan Atas pada Ibu Hamil Trimester 1 di Puskesmas Umbulraharjo 1 Kota Yogyakarta Tahun 2016</b:Title>
    <b:Year>2017</b:Year>
    <b:City>Yogyakarta</b:City>
    <b:Publisher>Universitas Aisyiyah Yogyakarta</b:Publisher>
    <b:ThesisType>Naskah Publikasi</b:ThesisType>
    <b:RefOrder>20</b:RefOrder>
  </b:Source>
  <b:Source>
    <b:Tag>Zuh16</b:Tag>
    <b:SourceType>Report</b:SourceType>
    <b:Guid>{81EF6B9F-85D3-4AC5-9CF1-70EAEF8238ED}</b:Guid>
    <b:Author>
      <b:Author>
        <b:NameList>
          <b:Person>
            <b:Last>Zuhairini</b:Last>
            <b:First>Yenni</b:First>
          </b:Person>
          <b:Person>
            <b:Last>Kasmanto</b:Last>
            <b:First>Hendro</b:First>
          </b:Person>
          <b:Person>
            <b:Last>Nugraha</b:Last>
            <b:First>Gaga</b:First>
            <b:Middle>Irawan</b:Middle>
          </b:Person>
        </b:NameList>
      </b:Author>
    </b:Author>
    <b:Title>Indeks Massa Tubuh Awal Kehamilan Ibu Sebagai Indikator yang Paling Berperan Terhadap Kenaikan Berat Badan Ibu Selama Hamil</b:Title>
    <b:Year>2016</b:Year>
    <b:Publisher>Universitas Padjajaran</b:Publisher>
    <b:City>Bandung</b:City>
    <b:ThesisType>Jurnal</b:ThesisType>
    <b:RefOrder>21</b:RefOrder>
  </b:Source>
  <b:Source>
    <b:Tag>Mah14</b:Tag>
    <b:SourceType>Report</b:SourceType>
    <b:Guid>{06BA79A2-CD20-49BE-8E24-33F5180B3D7E}</b:Guid>
    <b:Author>
      <b:Author>
        <b:NameList>
          <b:Person>
            <b:Last>Mahirawati</b:Last>
            <b:First>Vika</b:First>
            <b:Middle>Kartika</b:Middle>
          </b:Person>
        </b:NameList>
      </b:Author>
    </b:Author>
    <b:Title>Faktor-faktor yang berhubungan dengan kekurangan energi kronik (KEK) pada ibu hamil di Kecamatan Kamoning dan Tambelangan, Kabupaten Sampang, Jawa Timur.</b:Title>
    <b:Year>2014</b:Year>
    <b:Publisher>Jurnal Kesehatan Vol 17 No.2</b:Publisher>
    <b:RefOrder>12</b:RefOrder>
  </b:Source>
  <b:Source>
    <b:Tag>Eff12</b:Tag>
    <b:SourceType>Report</b:SourceType>
    <b:Guid>{516925D0-68E8-449E-BA54-117696BD4741}</b:Guid>
    <b:Author>
      <b:Author>
        <b:NameList>
          <b:Person>
            <b:Last>Effendy</b:Last>
            <b:First>Fauzan</b:First>
          </b:Person>
        </b:NameList>
      </b:Author>
    </b:Author>
    <b:Title>Hubungan Status Gizi dengan Tingkat Prestasi Belajar pada Siswa Kelas X SMK Negeri 2 Indramayu</b:Title>
    <b:Year>2012</b:Year>
    <b:Publisher>Universitas Negeri Yogyakarta</b:Publisher>
    <b:ThesisType>Skripsi</b:ThesisType>
    <b:RefOrder>22</b:RefOrder>
  </b:Source>
  <b:Source>
    <b:Tag>Zuh15</b:Tag>
    <b:SourceType>Report</b:SourceType>
    <b:Guid>{E75BEE1F-EDD8-4AA5-ADDF-FA3ABC65E1B7}</b:Guid>
    <b:Author>
      <b:Author>
        <b:NameList>
          <b:Person>
            <b:Last>Zuhdy</b:Last>
            <b:First>Nabila</b:First>
          </b:Person>
        </b:NameList>
      </b:Author>
    </b:Author>
    <b:Title>Hubungan Pola Aktifitas Fisik dan Pola Makan dengan Status Gizi Pelajar Putri SMA Kelas 1 Denpasar Utara. Tesis. Universitas Udayana Denpasar</b:Title>
    <b:Year>2015</b:Year>
    <b:Publisher>Universitas Udayanan Denpasar</b:Publisher>
    <b:ThesisType>Tesis</b:ThesisType>
    <b:RefOrder>23</b:RefOrder>
  </b:Source>
  <b:Source>
    <b:Tag>Has18</b:Tag>
    <b:SourceType>Report</b:SourceType>
    <b:Guid>{49AF7109-E0E7-4F5B-854D-91A5E8D265AF}</b:Guid>
    <b:Author>
      <b:Author>
        <b:NameList>
          <b:Person>
            <b:Last>Hasanah</b:Last>
            <b:First>Nurul</b:First>
          </b:Person>
        </b:NameList>
      </b:Author>
    </b:Author>
    <b:Title>Faktor – Faktor yang Berperan Terhadap Kejadian Kurang Energi Kronik (KEK) pada Mahasiswi Universitas Lampung</b:Title>
    <b:Year>2018</b:Year>
    <b:Publisher>Universitas Lampung</b:Publisher>
    <b:ThesisType>Skripsi</b:ThesisType>
    <b:RefOrder>24</b:RefOrder>
  </b:Source>
  <b:Source>
    <b:Tag>Sug15</b:Tag>
    <b:SourceType>Report</b:SourceType>
    <b:Guid>{3AEA65FF-8297-4066-BDA6-FF7FBC1899B0}</b:Guid>
    <b:Author>
      <b:Author>
        <b:NameList>
          <b:Person>
            <b:Last>Sugiritama</b:Last>
            <b:First>I</b:First>
            <b:Middle>Wayan</b:Middle>
          </b:Person>
          <b:Person>
            <b:Last>Wiyawan</b:Last>
            <b:First>Sri</b:First>
          </b:Person>
          <b:Person>
            <b:Last>Ratnayanti</b:Last>
          </b:Person>
          <b:Person>
            <b:Last>Arijana</b:Last>
          </b:Person>
        </b:NameList>
      </b:Author>
    </b:Author>
    <b:Title>Gambaran IMT(Indeks Massa Tubuh) Kategori Berat Badan Lebih dan Obesitas pada Masyarakat Banjar Demulih,Kecamatan Susut, Kabupaten Bangli. Universitas Udayana.</b:Title>
    <b:Year>2015</b:Year>
    <b:Publisher>Unibersitas Udayana</b:Publisher>
    <b:ThesisType>Skripsi</b:ThesisType>
    <b:RefOrder>25</b:RefOrder>
  </b:Source>
  <b:Source>
    <b:Tag>Fri11</b:Tag>
    <b:SourceType>Report</b:SourceType>
    <b:Guid>{3C7D6497-705A-4A73-A96C-72DE1CCF2B86}</b:Guid>
    <b:Author>
      <b:Author>
        <b:NameList>
          <b:Person>
            <b:Last>Frisancho</b:Last>
            <b:First>Roberto</b:First>
          </b:Person>
        </b:NameList>
      </b:Author>
    </b:Author>
    <b:Title>Anthropometric Standards: An Interactive Nutritional Reference of Body Size and Body Composition for Children and Adult</b:Title>
    <b:Year>2011</b:Year>
    <b:Publisher>University of Michigan Press, United States of America</b:Publisher>
    <b:RefOrder>13</b:RefOrder>
  </b:Source>
  <b:Source>
    <b:Tag>Ari04</b:Tag>
    <b:SourceType>Book</b:SourceType>
    <b:Guid>{601EFDB7-6785-4EB3-8656-58C698775DAB}</b:Guid>
    <b:Author>
      <b:Author>
        <b:NameList>
          <b:Person>
            <b:Last>Arisman</b:Last>
          </b:Person>
        </b:NameList>
      </b:Author>
    </b:Author>
    <b:Title>Gizi Dalam Daur Kehidupan</b:Title>
    <b:Year>2004</b:Year>
    <b:Publisher>ECG Kedokteran</b:Publisher>
    <b:City>Jakarta</b:City>
    <b:RefOrder>26</b:RefOrder>
  </b:Source>
  <b:Source>
    <b:Tag>Ari12</b:Tag>
    <b:SourceType>Report</b:SourceType>
    <b:Guid>{26CE325D-CBE8-4415-8C8D-119C03A7763F}</b:Guid>
    <b:Author>
      <b:Author>
        <b:NameList>
          <b:Person>
            <b:Last>Ariyani</b:Last>
            <b:First>Dini</b:First>
            <b:Middle>Eva</b:Middle>
          </b:Person>
        </b:NameList>
      </b:Author>
    </b:Author>
    <b:Title>Validitas Ukuran Lingkar Lengan Atas Terhadap Indeks Massa Tubuh Dalam Mendeteksi Risiko Kekurangan Energi Kronis Pada Wanita (20-45 Tahun) di Indonesia</b:Title>
    <b:Year>2012</b:Year>
    <b:Publisher>Universitas Indonesia</b:Publisher>
    <b:ThesisType>Skripsi</b:ThesisType>
    <b:RefOrder>27</b:RefOrder>
  </b:Source>
  <b:Source>
    <b:Tag>Jan15</b:Tag>
    <b:SourceType>Report</b:SourceType>
    <b:Guid>{9F332A27-E648-4326-AF97-65CA1D5EE7D2}</b:Guid>
    <b:Author>
      <b:Author>
        <b:NameList>
          <b:Person>
            <b:Last>Jannah</b:Last>
            <b:First>Wirdhatul</b:First>
          </b:Person>
          <b:Person>
            <b:Last>Bebasari</b:Last>
            <b:First>Eka</b:First>
          </b:Person>
          <b:Person>
            <b:Last>Ernalia</b:Last>
            <b:First>Yanti</b:First>
          </b:Person>
        </b:NameList>
      </b:Author>
    </b:Author>
    <b:Title>Profil Status Gizi Mahasiswa Fakultas Kedokteran Universitas Riau Angkatan 2012 dan 2013 Berdasarkan Indeks Massa Tubuh, Waist Hip Ratio dan Lingkar Pinggang</b:Title>
    <b:Year>2015</b:Year>
    <b:Publisher>Universitas Riau</b:Publisher>
    <b:ThesisType>Jurnal</b:ThesisType>
    <b:RefOrder>28</b:RefOrder>
  </b:Source>
  <b:Source>
    <b:Tag>Sam15</b:Tag>
    <b:SourceType>JournalArticle</b:SourceType>
    <b:Guid>{F91B8C9D-D760-4DA9-8D33-BC2FA077F499}</b:Guid>
    <b:Author>
      <b:Author>
        <b:NameList>
          <b:Person>
            <b:Last>Sambeka</b:Last>
            <b:First>Christanti</b:First>
          </b:Person>
          <b:Person>
            <b:Last>Tanudjaja</b:Last>
            <b:First>George</b:First>
            <b:Middle>N.</b:Middle>
          </b:Person>
          <b:Person>
            <b:Last>Pasiak</b:Last>
            <b:First>Taufiq</b:First>
            <b:Middle>F.</b:Middle>
          </b:Person>
        </b:NameList>
      </b:Author>
    </b:Author>
    <b:Title>Hubungan Tinggi Badan Dengan Panjang Tangan Pada Mahasiswa Fakultas Kedokteran Unsrat Angkatan 2013</b:Title>
    <b:Year>2015</b:Year>
    <b:JournalName>Jurnal e-Biomedik (eBm)</b:JournalName>
    <b:Pages>h 310 - 315</b:Pages>
    <b:Month>Januari - April</b:Month>
    <b:Volume>Volume 3 Nomor 1</b:Volume>
    <b:RefOrder>29</b:RefOrder>
  </b:Source>
  <b:Source>
    <b:Tag>Aba17</b:Tag>
    <b:SourceType>JournalArticle</b:SourceType>
    <b:Guid>{1667CA4D-A87B-4B34-9EAC-32D3CBA90BD7}</b:Guid>
    <b:Author>
      <b:Author>
        <b:NameList>
          <b:Person>
            <b:Last>Abaa</b:Last>
            <b:First>Yoal</b:First>
            <b:Middle>P.</b:Middle>
          </b:Person>
          <b:Person>
            <b:Last>Hedison</b:Last>
            <b:First>Polii</b:First>
          </b:Person>
          <b:Person>
            <b:Last>Pemsi</b:Last>
            <b:First>Wowor</b:First>
            <b:Middle>M.</b:Middle>
          </b:Person>
        </b:NameList>
      </b:Author>
    </b:Author>
    <b:Title>Gambaran Tekanan Darah, Indeks Massa Tubuh, dan Aktifitas Fisik pada Mahasiswa Kedokteran Umum Angkatan Tahun 2014</b:Title>
    <b:JournalName>e-Biomedik (eBm)</b:JournalName>
    <b:Year>2017</b:Year>
    <b:Month>Juli - Desember</b:Month>
    <b:Volume>Volume 5 Nomor 2</b:Volume>
    <b:RefOrder>30</b:RefOrder>
  </b:Source>
  <b:Source>
    <b:Tag>Han16</b:Tag>
    <b:SourceType>Report</b:SourceType>
    <b:Guid>{4FDF39B1-BF4D-4100-8A14-82BFD9DD076A}</b:Guid>
    <b:Author>
      <b:Author>
        <b:NameList>
          <b:Person>
            <b:Last>Handayani</b:Last>
            <b:First>Rossy</b:First>
          </b:Person>
        </b:NameList>
      </b:Author>
    </b:Author>
    <b:Title>Gambaran Tinggi Badan Mahasiswa S1 Pendidikan Bidan Universitas Airlangga berdasarkan Faktor yang Mempengaruhinya</b:Title>
    <b:Year>2016</b:Year>
    <b:Publisher>Universitas Airlangga</b:Publisher>
    <b:City>Yogyakarta</b:City>
    <b:ThesisType>Skripsi</b:ThesisType>
    <b:RefOrder>31</b:RefOrder>
  </b:Source>
  <b:Source>
    <b:Tag>Was15</b:Tag>
    <b:SourceType>JournalArticle</b:SourceType>
    <b:Guid>{26BC823B-43DF-437C-B59F-1430123FC068}</b:Guid>
    <b:Author>
      <b:Author>
        <b:NameList>
          <b:Person>
            <b:Last>Wassie</b:Last>
            <b:First>Molla</b:First>
            <b:Middle>Mesele</b:Middle>
          </b:Person>
          <b:Person>
            <b:Last>Gete</b:Last>
            <b:First>Azeb</b:First>
            <b:Middle>Atnafu</b:Middle>
          </b:Person>
          <b:Person>
            <b:Last>Yesuf</b:Last>
            <b:First>Melkie</b:First>
            <b:Middle>Edris</b:Middle>
          </b:Person>
          <b:Person>
            <b:Last>Alene</b:Last>
            <b:First>Getu</b:First>
            <b:Middle>Degu</b:Middle>
          </b:Person>
          <b:Person>
            <b:Last>Belay</b:Last>
            <b:First>Adamu</b:First>
          </b:Person>
          <b:Person>
            <b:Last>Moges</b:Last>
            <b:First>Tibebu</b:First>
          </b:Person>
        </b:NameList>
      </b:Author>
    </b:Author>
    <b:Title>Predictors of Nutritional Status of Ethiopian Adolescent Girls: A Community Based Cross Sectional Study</b:Title>
    <b:Year>2015</b:Year>
    <b:JournalName>BMC Nutrition</b:JournalName>
    <b:Pages>1 - 7</b:Pages>
    <b:RefOrder>32</b:RefOrder>
  </b:Source>
  <b:Source>
    <b:Tag>Rat14</b:Tag>
    <b:SourceType>JournalArticle</b:SourceType>
    <b:Guid>{9608B5C4-222B-4298-A19D-BF39912FB893}</b:Guid>
    <b:Author>
      <b:Author>
        <b:NameList>
          <b:Person>
            <b:Last>Rathnayake</b:Last>
            <b:First>Kumari</b:First>
            <b:Middle>M</b:Middle>
          </b:Person>
          <b:Person>
            <b:Last>Roopasingarn</b:Last>
            <b:First>Tharrmini</b:First>
          </b:Person>
          <b:Person>
            <b:Last>Wickramasighe</b:Last>
            <b:First>VP</b:First>
          </b:Person>
        </b:NameList>
      </b:Author>
    </b:Author>
    <b:Title>Nutritional and behavioral determinants of Adolescent obesity: A Case-Control Study In Srilanka</b:Title>
    <b:JournalName>BMC Public Health</b:JournalName>
    <b:Year>2014</b:Year>
    <b:Pages>1-6</b:Pages>
    <b:RefOrder>33</b:RefOrder>
  </b:Source>
</b:Sources>
</file>

<file path=customXml/itemProps1.xml><?xml version="1.0" encoding="utf-8"?>
<ds:datastoreItem xmlns:ds="http://schemas.openxmlformats.org/officeDocument/2006/customXml" ds:itemID="{8EFE2C37-4980-4B00-B6AF-674737922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3551</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Reviewer</cp:lastModifiedBy>
  <cp:revision>6</cp:revision>
  <cp:lastPrinted>2025-09-30T04:24:00Z</cp:lastPrinted>
  <dcterms:created xsi:type="dcterms:W3CDTF">2025-07-03T05:45:00Z</dcterms:created>
  <dcterms:modified xsi:type="dcterms:W3CDTF">2025-09-30T04:24:00Z</dcterms:modified>
</cp:coreProperties>
</file>